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003" w:rsidRPr="00EC0003" w:rsidRDefault="00EC0003" w:rsidP="00EC0003">
      <w:pPr>
        <w:spacing w:line="360" w:lineRule="auto"/>
        <w:jc w:val="center"/>
        <w:rPr>
          <w:rFonts w:ascii="宋体" w:hAnsi="宋体" w:hint="eastAsia"/>
          <w:b/>
          <w:sz w:val="36"/>
          <w:szCs w:val="36"/>
        </w:rPr>
      </w:pPr>
      <w:r>
        <w:rPr>
          <w:rFonts w:ascii="宋体" w:hAnsi="宋体" w:hint="eastAsia"/>
          <w:b/>
          <w:sz w:val="36"/>
          <w:szCs w:val="36"/>
        </w:rPr>
        <w:t>精确曝气在CASS工艺运行和节能中的应用</w:t>
      </w:r>
      <w:r>
        <w:rPr>
          <w:rFonts w:ascii="宋体" w:hAnsi="宋体" w:cs="宋体" w:hint="eastAsia"/>
          <w:color w:val="000000"/>
          <w:sz w:val="18"/>
          <w:szCs w:val="18"/>
          <w:shd w:val="clear" w:color="auto" w:fill="FFFFFF"/>
        </w:rPr>
        <w:t xml:space="preserve">                                                                           </w:t>
      </w:r>
      <w:r w:rsidRPr="00FE43DF">
        <w:rPr>
          <w:rFonts w:ascii="宋体" w:hAnsi="宋体" w:cs="宋体" w:hint="eastAsia"/>
          <w:color w:val="000000"/>
          <w:szCs w:val="21"/>
          <w:shd w:val="clear" w:color="auto" w:fill="FFFFFF"/>
        </w:rPr>
        <w:t xml:space="preserve"> </w:t>
      </w:r>
    </w:p>
    <w:p w:rsidR="00EC0003" w:rsidRPr="00FE43DF" w:rsidRDefault="00EC0003" w:rsidP="00EC0003">
      <w:pPr>
        <w:spacing w:line="360" w:lineRule="auto"/>
        <w:jc w:val="center"/>
        <w:rPr>
          <w:rFonts w:ascii="宋体" w:hAnsi="宋体"/>
          <w:b/>
          <w:szCs w:val="21"/>
        </w:rPr>
      </w:pPr>
      <w:r w:rsidRPr="00FE43DF">
        <w:rPr>
          <w:rFonts w:ascii="宋体" w:hAnsi="宋体" w:cs="宋体" w:hint="eastAsia"/>
          <w:color w:val="000000"/>
          <w:szCs w:val="21"/>
          <w:shd w:val="clear" w:color="auto" w:fill="FFFFFF"/>
        </w:rPr>
        <w:t>上海</w:t>
      </w:r>
      <w:proofErr w:type="gramStart"/>
      <w:r w:rsidRPr="00FE43DF">
        <w:rPr>
          <w:rFonts w:ascii="宋体" w:hAnsi="宋体" w:cs="宋体" w:hint="eastAsia"/>
          <w:color w:val="000000"/>
          <w:szCs w:val="21"/>
          <w:shd w:val="clear" w:color="auto" w:fill="FFFFFF"/>
        </w:rPr>
        <w:t>昊沧</w:t>
      </w:r>
      <w:proofErr w:type="gramEnd"/>
      <w:r w:rsidRPr="00FE43DF">
        <w:rPr>
          <w:rFonts w:ascii="宋体" w:hAnsi="宋体" w:cs="宋体" w:hint="eastAsia"/>
          <w:color w:val="000000"/>
          <w:szCs w:val="21"/>
          <w:shd w:val="clear" w:color="auto" w:fill="FFFFFF"/>
        </w:rPr>
        <w:t>系统控制技术有限责任公司</w:t>
      </w:r>
    </w:p>
    <w:p w:rsidR="00EC0003" w:rsidRDefault="00EC0003" w:rsidP="00EC0003">
      <w:pPr>
        <w:spacing w:line="360" w:lineRule="auto"/>
        <w:ind w:firstLineChars="200" w:firstLine="482"/>
        <w:jc w:val="left"/>
        <w:rPr>
          <w:rFonts w:ascii="宋体" w:hAnsi="宋体"/>
          <w:sz w:val="24"/>
          <w:szCs w:val="24"/>
        </w:rPr>
      </w:pPr>
      <w:r w:rsidRPr="00FE43DF">
        <w:rPr>
          <w:rFonts w:ascii="宋体" w:hAnsi="宋体" w:hint="eastAsia"/>
          <w:b/>
          <w:sz w:val="24"/>
          <w:szCs w:val="24"/>
        </w:rPr>
        <w:t>摘要：</w:t>
      </w:r>
      <w:r>
        <w:rPr>
          <w:rFonts w:ascii="宋体" w:hAnsi="宋体" w:hint="eastAsia"/>
          <w:sz w:val="24"/>
          <w:szCs w:val="24"/>
        </w:rPr>
        <w:t>曝气环节是污水处理厂节省能耗和降低运行费用的关键，曝气效果和出水水质是否达标密切相关，如何既能保证出水达标运行，又能尽可能降低曝气环节的消耗和费用，达成两者的平衡，就成为</w:t>
      </w:r>
      <w:proofErr w:type="gramStart"/>
      <w:r>
        <w:rPr>
          <w:rFonts w:ascii="宋体" w:hAnsi="宋体" w:hint="eastAsia"/>
          <w:sz w:val="24"/>
          <w:szCs w:val="24"/>
        </w:rPr>
        <w:t>考量</w:t>
      </w:r>
      <w:proofErr w:type="gramEnd"/>
      <w:r>
        <w:rPr>
          <w:rFonts w:ascii="宋体" w:hAnsi="宋体" w:hint="eastAsia"/>
          <w:sz w:val="24"/>
          <w:szCs w:val="24"/>
        </w:rPr>
        <w:t>污水厂精细化控制水平的标杆。对污水处理厂曝气系统的精细化控制非常重要，而为了达到优化曝气的目的，需要建立基于活性污泥数学模型的先进控制技术。精确曝气是基于活性污泥数学模型和鼓风机-阀门联合控制的先进控制技术，本文以四川省内江市污水处理厂二期新建污水处理工程为例，剖析</w:t>
      </w:r>
      <w:r w:rsidRPr="00FE43DF">
        <w:rPr>
          <w:rFonts w:ascii="宋体" w:hAnsi="宋体" w:hint="eastAsia"/>
          <w:sz w:val="24"/>
          <w:szCs w:val="24"/>
        </w:rPr>
        <w:t>精确曝气在CASS工艺运行和节能中的应用</w:t>
      </w:r>
      <w:r>
        <w:rPr>
          <w:rFonts w:ascii="宋体" w:hAnsi="宋体" w:hint="eastAsia"/>
          <w:sz w:val="24"/>
          <w:szCs w:val="24"/>
        </w:rPr>
        <w:t>。</w:t>
      </w:r>
    </w:p>
    <w:p w:rsidR="00EC0003" w:rsidRDefault="00EC0003" w:rsidP="00EC0003">
      <w:pPr>
        <w:spacing w:line="360" w:lineRule="auto"/>
        <w:ind w:firstLineChars="200" w:firstLine="480"/>
        <w:jc w:val="left"/>
        <w:rPr>
          <w:rFonts w:ascii="宋体" w:hAnsi="宋体"/>
          <w:sz w:val="24"/>
          <w:szCs w:val="24"/>
        </w:rPr>
      </w:pPr>
    </w:p>
    <w:p w:rsidR="00EC0003" w:rsidRPr="00FE43DF" w:rsidRDefault="00EC0003" w:rsidP="00EC0003">
      <w:pPr>
        <w:spacing w:line="360" w:lineRule="auto"/>
        <w:ind w:firstLineChars="200" w:firstLine="482"/>
        <w:jc w:val="left"/>
        <w:rPr>
          <w:rFonts w:ascii="宋体" w:hAnsi="宋体"/>
          <w:sz w:val="24"/>
          <w:szCs w:val="24"/>
        </w:rPr>
      </w:pPr>
      <w:r w:rsidRPr="00FE43DF">
        <w:rPr>
          <w:rFonts w:ascii="宋体" w:hAnsi="宋体" w:hint="eastAsia"/>
          <w:b/>
          <w:sz w:val="24"/>
          <w:szCs w:val="24"/>
        </w:rPr>
        <w:t>关键词</w:t>
      </w:r>
      <w:r>
        <w:rPr>
          <w:rFonts w:ascii="宋体" w:hAnsi="宋体" w:hint="eastAsia"/>
          <w:sz w:val="24"/>
          <w:szCs w:val="24"/>
        </w:rPr>
        <w:t>：</w:t>
      </w:r>
      <w:r w:rsidRPr="00FE43DF">
        <w:rPr>
          <w:rFonts w:ascii="宋体" w:hAnsi="宋体" w:hint="eastAsia"/>
          <w:sz w:val="24"/>
          <w:szCs w:val="24"/>
        </w:rPr>
        <w:t>精确曝气</w:t>
      </w:r>
      <w:r>
        <w:rPr>
          <w:rFonts w:ascii="宋体" w:hAnsi="宋体" w:hint="eastAsia"/>
          <w:sz w:val="24"/>
          <w:szCs w:val="24"/>
        </w:rPr>
        <w:t>，内江市污水处理厂，曝气方式</w:t>
      </w:r>
    </w:p>
    <w:p w:rsidR="00EC0003" w:rsidRDefault="00EC0003" w:rsidP="00EC0003">
      <w:pPr>
        <w:spacing w:line="360" w:lineRule="auto"/>
        <w:jc w:val="center"/>
        <w:rPr>
          <w:rFonts w:ascii="宋体" w:hAnsi="宋体"/>
          <w:b/>
          <w:sz w:val="36"/>
          <w:szCs w:val="36"/>
        </w:rPr>
      </w:pPr>
    </w:p>
    <w:p w:rsidR="00EC0003" w:rsidRDefault="00EC0003" w:rsidP="00EC0003">
      <w:pPr>
        <w:spacing w:line="360" w:lineRule="auto"/>
        <w:ind w:firstLineChars="200" w:firstLine="480"/>
        <w:jc w:val="left"/>
        <w:rPr>
          <w:rFonts w:ascii="宋体" w:hAnsi="宋体"/>
          <w:sz w:val="24"/>
          <w:szCs w:val="24"/>
        </w:rPr>
      </w:pPr>
      <w:r>
        <w:rPr>
          <w:rFonts w:ascii="宋体" w:hAnsi="宋体" w:hint="eastAsia"/>
          <w:sz w:val="24"/>
          <w:szCs w:val="24"/>
        </w:rPr>
        <w:t>城市污水处理属于高能耗行业，污水厂的直接成本中，所占比例最大的是动力费，而动力费中曝气环节又占据了50%以上的份额，可见曝气环节是污水厂节省能耗和降低运行费用的关键。曝气效果和出水水质是否达标密切相关，如何既能保证出水达标运行，又能尽可能降低曝气环节的消耗和费用，达成两者的平衡，就成为</w:t>
      </w:r>
      <w:proofErr w:type="gramStart"/>
      <w:r>
        <w:rPr>
          <w:rFonts w:ascii="宋体" w:hAnsi="宋体" w:hint="eastAsia"/>
          <w:sz w:val="24"/>
          <w:szCs w:val="24"/>
        </w:rPr>
        <w:t>考量</w:t>
      </w:r>
      <w:proofErr w:type="gramEnd"/>
      <w:r>
        <w:rPr>
          <w:rFonts w:ascii="宋体" w:hAnsi="宋体" w:hint="eastAsia"/>
          <w:sz w:val="24"/>
          <w:szCs w:val="24"/>
        </w:rPr>
        <w:t>污水厂精细化控制水平的标杆。溶解氧浓度也就成为影响整个污水生化处理过程的重要影响因素，其控制水平的好坏影响到污水厂的出水水质和运行效果。在传统的曝气控制模式下（人工调节、PID等）， 由于污水处理系统的时变性、时滞性、扰动性和非线性等特性会造成各种扰动，很难做到曝气系统按需供、配气，实际应用中经常发生供气不足或者过量供气，导致出水水质不稳定和能耗过高的弊端。因此，对污水处理厂曝气系统的精细化控制非常重要，而为了达到优化曝气的目的，需要建立基于活性污泥数学模型的先进控制技术。</w:t>
      </w:r>
    </w:p>
    <w:p w:rsidR="00EC0003" w:rsidRDefault="00EC0003" w:rsidP="00EC0003">
      <w:pPr>
        <w:spacing w:line="360" w:lineRule="auto"/>
        <w:jc w:val="left"/>
        <w:rPr>
          <w:rFonts w:ascii="宋体" w:hAnsi="宋体"/>
          <w:sz w:val="24"/>
          <w:szCs w:val="24"/>
        </w:rPr>
      </w:pPr>
      <w:r>
        <w:rPr>
          <w:rFonts w:ascii="宋体" w:hAnsi="宋体" w:hint="eastAsia"/>
          <w:sz w:val="24"/>
          <w:szCs w:val="24"/>
        </w:rPr>
        <w:t xml:space="preserve">   精确曝气是基于活性污泥数学模型和鼓风机-阀门联合控制的先进控制技术， 模型的核心是国际水协于上世纪80年代以来提出的一系列用于描述活性污泥工艺处理污水的生化反应动力学过程的数学模型——ASM系列模型（ASM1、ASM2、ASM2d、ASM3）。该系列模型以定量化的方式描述了污水生化处理过程中溶解氧浓度的变迁、有机污染物的降解、不同种群微生物的生长-衰亡规律和脱氮除磷的过程。基于ASM模型，精确曝气控制系统能根据曝气池中设定的目标溶解氧浓度，</w:t>
      </w:r>
      <w:r>
        <w:rPr>
          <w:rFonts w:ascii="宋体" w:hAnsi="宋体" w:hint="eastAsia"/>
          <w:sz w:val="24"/>
          <w:szCs w:val="24"/>
        </w:rPr>
        <w:lastRenderedPageBreak/>
        <w:t>结合进水的水量、水质等工艺参数，计算出维持当前目标溶解氧浓度所需的曝气量，即需气量，并向曝气池提供足以维持设定目标溶解氧的气量，而这一过程将由鼓风机-阀门的联合精细化控制来实现。鼓风机是整个曝气系统的动力源泉，通过启</w:t>
      </w:r>
      <w:proofErr w:type="gramStart"/>
      <w:r>
        <w:rPr>
          <w:rFonts w:ascii="宋体" w:hAnsi="宋体" w:hint="eastAsia"/>
          <w:sz w:val="24"/>
          <w:szCs w:val="24"/>
        </w:rPr>
        <w:t>停或者</w:t>
      </w:r>
      <w:proofErr w:type="gramEnd"/>
      <w:r>
        <w:rPr>
          <w:rFonts w:ascii="宋体" w:hAnsi="宋体" w:hint="eastAsia"/>
          <w:sz w:val="24"/>
          <w:szCs w:val="24"/>
        </w:rPr>
        <w:t>调节进、出口</w:t>
      </w:r>
      <w:proofErr w:type="gramStart"/>
      <w:r>
        <w:rPr>
          <w:rFonts w:ascii="宋体" w:hAnsi="宋体" w:hint="eastAsia"/>
          <w:sz w:val="24"/>
          <w:szCs w:val="24"/>
        </w:rPr>
        <w:t>导叶开度提供</w:t>
      </w:r>
      <w:proofErr w:type="gramEnd"/>
      <w:r>
        <w:rPr>
          <w:rFonts w:ascii="宋体" w:hAnsi="宋体" w:hint="eastAsia"/>
          <w:sz w:val="24"/>
          <w:szCs w:val="24"/>
        </w:rPr>
        <w:t>曝气池所需的总曝气量；阀门通过调节开度，负责曝气量在各个生化池或不同工艺控制单元内的二次分配，以保证每个控制单元都能“分配”到合适的气量。</w:t>
      </w:r>
    </w:p>
    <w:p w:rsidR="00EC0003" w:rsidRDefault="00EC0003" w:rsidP="00EC0003">
      <w:pPr>
        <w:spacing w:line="360" w:lineRule="auto"/>
        <w:ind w:firstLineChars="150" w:firstLine="360"/>
        <w:jc w:val="left"/>
        <w:rPr>
          <w:rFonts w:ascii="宋体" w:hAnsi="宋体"/>
          <w:sz w:val="24"/>
          <w:szCs w:val="24"/>
        </w:rPr>
      </w:pPr>
      <w:r>
        <w:rPr>
          <w:rFonts w:ascii="宋体" w:hAnsi="宋体" w:hint="eastAsia"/>
          <w:sz w:val="24"/>
          <w:szCs w:val="24"/>
        </w:rPr>
        <w:t>通过精确曝气系统的精确控制，曝气池的溶氧能维持在设定目标值附近波动，避免了传统曝气方式下可能为了一味追求水质达标带来的过量供气的弊端。 四川省内江市污水处理厂二期新建污水处理工程于2013年8月开始实施精确曝气，而原有的一期污水处理工程从2013年10月开始实施精确曝气，至2014年3月均已基本实现溶解氧的精细化控制，削减单位污染物、处理单方水的鼓风机电耗也有明显的降低。</w:t>
      </w:r>
    </w:p>
    <w:p w:rsidR="00EC0003" w:rsidRDefault="00EC0003" w:rsidP="00EC0003">
      <w:pPr>
        <w:spacing w:line="360" w:lineRule="auto"/>
        <w:jc w:val="center"/>
        <w:outlineLvl w:val="0"/>
        <w:rPr>
          <w:rFonts w:ascii="宋体" w:hAnsi="宋体"/>
        </w:rPr>
      </w:pPr>
      <w:r>
        <w:rPr>
          <w:rFonts w:ascii="宋体" w:hAnsi="宋体" w:hint="eastAsia"/>
          <w:b/>
          <w:sz w:val="28"/>
          <w:szCs w:val="28"/>
        </w:rPr>
        <w:t>1、内江市污水处理厂实施精确曝气前的概况</w:t>
      </w:r>
    </w:p>
    <w:p w:rsidR="00EC0003" w:rsidRDefault="00EC0003" w:rsidP="00EC0003">
      <w:pPr>
        <w:spacing w:line="360" w:lineRule="auto"/>
        <w:ind w:firstLineChars="150" w:firstLine="360"/>
        <w:jc w:val="left"/>
        <w:rPr>
          <w:rFonts w:ascii="宋体" w:hAnsi="宋体"/>
          <w:sz w:val="24"/>
          <w:szCs w:val="24"/>
        </w:rPr>
      </w:pPr>
      <w:r>
        <w:rPr>
          <w:rFonts w:ascii="宋体" w:hAnsi="宋体" w:hint="eastAsia"/>
          <w:sz w:val="24"/>
          <w:szCs w:val="24"/>
        </w:rPr>
        <w:t>内江市污水</w:t>
      </w:r>
      <w:proofErr w:type="gramStart"/>
      <w:r>
        <w:rPr>
          <w:rFonts w:ascii="宋体" w:hAnsi="宋体" w:hint="eastAsia"/>
          <w:sz w:val="24"/>
          <w:szCs w:val="24"/>
        </w:rPr>
        <w:t>厂分为</w:t>
      </w:r>
      <w:proofErr w:type="gramEnd"/>
      <w:r>
        <w:rPr>
          <w:rFonts w:ascii="宋体" w:hAnsi="宋体" w:hint="eastAsia"/>
          <w:sz w:val="24"/>
          <w:szCs w:val="24"/>
        </w:rPr>
        <w:t>一期和二期工程，均采用CASS工艺，分别由四组生化反应池构成，设计处理能力分别为5万m</w:t>
      </w:r>
      <w:r>
        <w:rPr>
          <w:rFonts w:ascii="宋体" w:hAnsi="宋体" w:hint="eastAsia"/>
          <w:sz w:val="24"/>
          <w:szCs w:val="24"/>
          <w:vertAlign w:val="superscript"/>
        </w:rPr>
        <w:t>3</w:t>
      </w:r>
      <w:r>
        <w:rPr>
          <w:rFonts w:ascii="宋体" w:hAnsi="宋体" w:hint="eastAsia"/>
          <w:sz w:val="24"/>
          <w:szCs w:val="24"/>
        </w:rPr>
        <w:t>/日，工艺运行周期包括进水、曝气、沉淀和出水等阶段，单个运行周期为4小时，出水水质执行《城镇污水厂污染物排放标准》（GB18918-2002）一级B标准。</w:t>
      </w:r>
    </w:p>
    <w:p w:rsidR="00EC0003" w:rsidRDefault="00EC0003" w:rsidP="00EC0003">
      <w:pPr>
        <w:spacing w:line="360" w:lineRule="auto"/>
        <w:ind w:firstLineChars="200" w:firstLine="480"/>
        <w:jc w:val="left"/>
        <w:rPr>
          <w:rFonts w:ascii="宋体" w:hAnsi="宋体"/>
          <w:sz w:val="24"/>
          <w:szCs w:val="24"/>
        </w:rPr>
      </w:pPr>
      <w:r>
        <w:rPr>
          <w:rFonts w:ascii="宋体" w:hAnsi="宋体" w:hint="eastAsia"/>
          <w:sz w:val="24"/>
          <w:szCs w:val="24"/>
        </w:rPr>
        <w:t>一期、二期工程分别设有3台Siemens-Turbo鼓风机，各自为4组生化池进行供气。在实施精确曝气改造之前，3台鼓风机之间设有管路截止阀门。运行中通过截止Valve-1打开Valve-2或打开Valve-1截止Valve-2实现1#、2#或3#鼓风机为不同生化池供气：</w:t>
      </w:r>
    </w:p>
    <w:p w:rsidR="00EC0003" w:rsidRDefault="00EC0003" w:rsidP="00EC0003">
      <w:pPr>
        <w:spacing w:line="360" w:lineRule="auto"/>
        <w:jc w:val="center"/>
        <w:rPr>
          <w:rFonts w:ascii="宋体" w:hAnsi="宋体"/>
        </w:rPr>
      </w:pPr>
      <w:r>
        <w:rPr>
          <w:rFonts w:ascii="宋体" w:hAnsi="宋体"/>
          <w:noProof/>
        </w:rPr>
        <w:lastRenderedPageBreak/>
        <w:drawing>
          <wp:inline distT="0" distB="0" distL="0" distR="0">
            <wp:extent cx="4149090" cy="3381375"/>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149090" cy="3381375"/>
                    </a:xfrm>
                    <a:prstGeom prst="rect">
                      <a:avLst/>
                    </a:prstGeom>
                    <a:noFill/>
                    <a:ln w="9525">
                      <a:noFill/>
                      <a:miter lim="800000"/>
                      <a:headEnd/>
                      <a:tailEnd/>
                    </a:ln>
                  </pic:spPr>
                </pic:pic>
              </a:graphicData>
            </a:graphic>
          </wp:inline>
        </w:drawing>
      </w:r>
    </w:p>
    <w:p w:rsidR="00EC0003" w:rsidRDefault="00EC0003" w:rsidP="00EC0003">
      <w:pPr>
        <w:spacing w:line="360" w:lineRule="auto"/>
        <w:jc w:val="center"/>
        <w:rPr>
          <w:rFonts w:ascii="宋体" w:hAnsi="宋体"/>
        </w:rPr>
      </w:pPr>
      <w:r>
        <w:rPr>
          <w:rFonts w:ascii="宋体" w:hAnsi="宋体" w:hint="eastAsia"/>
        </w:rPr>
        <w:t>图1  鼓风机曝气管道系统图（实施精确曝气之前）</w:t>
      </w:r>
    </w:p>
    <w:p w:rsidR="00EC0003" w:rsidRDefault="00EC0003" w:rsidP="00EC0003">
      <w:pPr>
        <w:spacing w:line="360" w:lineRule="auto"/>
        <w:ind w:firstLineChars="250" w:firstLine="600"/>
        <w:jc w:val="left"/>
        <w:rPr>
          <w:rFonts w:ascii="宋体" w:hAnsi="宋体"/>
          <w:sz w:val="24"/>
          <w:szCs w:val="24"/>
        </w:rPr>
      </w:pPr>
      <w:r>
        <w:rPr>
          <w:rFonts w:ascii="宋体" w:hAnsi="宋体" w:hint="eastAsia"/>
          <w:sz w:val="24"/>
          <w:szCs w:val="24"/>
        </w:rPr>
        <w:t>鼓风机系统原有的供气模式是传统的、基于人工调节的方式。根据CASS工艺周期性运行的工艺特性，通过启闭安装在鼓风机曝气总管上的截止阀Vavle-1、Vavle-2来实现向不同的</w:t>
      </w:r>
      <w:proofErr w:type="gramStart"/>
      <w:r>
        <w:rPr>
          <w:rFonts w:ascii="宋体" w:hAnsi="宋体" w:hint="eastAsia"/>
          <w:sz w:val="24"/>
          <w:szCs w:val="24"/>
        </w:rPr>
        <w:t>生化池组供气</w:t>
      </w:r>
      <w:proofErr w:type="gramEnd"/>
      <w:r>
        <w:rPr>
          <w:rFonts w:ascii="宋体" w:hAnsi="宋体" w:hint="eastAsia"/>
          <w:sz w:val="24"/>
          <w:szCs w:val="24"/>
        </w:rPr>
        <w:t>：截止Vavle-2、打通Vavle-1来向A、B</w:t>
      </w:r>
      <w:proofErr w:type="gramStart"/>
      <w:r>
        <w:rPr>
          <w:rFonts w:ascii="宋体" w:hAnsi="宋体" w:hint="eastAsia"/>
          <w:sz w:val="24"/>
          <w:szCs w:val="24"/>
        </w:rPr>
        <w:t>池组供气</w:t>
      </w:r>
      <w:proofErr w:type="gramEnd"/>
      <w:r>
        <w:rPr>
          <w:rFonts w:ascii="宋体" w:hAnsi="宋体" w:hint="eastAsia"/>
          <w:sz w:val="24"/>
          <w:szCs w:val="24"/>
        </w:rPr>
        <w:t>；截止Vavle-1、打通Vavle-2来向C、D</w:t>
      </w:r>
      <w:proofErr w:type="gramStart"/>
      <w:r>
        <w:rPr>
          <w:rFonts w:ascii="宋体" w:hAnsi="宋体" w:hint="eastAsia"/>
          <w:sz w:val="24"/>
          <w:szCs w:val="24"/>
        </w:rPr>
        <w:t>池组供气</w:t>
      </w:r>
      <w:proofErr w:type="gramEnd"/>
      <w:r>
        <w:rPr>
          <w:rFonts w:ascii="宋体" w:hAnsi="宋体" w:hint="eastAsia"/>
          <w:sz w:val="24"/>
          <w:szCs w:val="24"/>
        </w:rPr>
        <w:t>。安装在四根曝气支管（分别通向A、B、C、D四座生化池）上的电动阀，在曝气阶段打开，在沉淀、排水等不需曝气的阶段关闭。整个曝气管道系统通过上述阀门的启闭来切换</w:t>
      </w:r>
      <w:proofErr w:type="gramStart"/>
      <w:r>
        <w:rPr>
          <w:rFonts w:ascii="宋体" w:hAnsi="宋体" w:hint="eastAsia"/>
          <w:sz w:val="24"/>
          <w:szCs w:val="24"/>
        </w:rPr>
        <w:t>向各池的</w:t>
      </w:r>
      <w:proofErr w:type="gramEnd"/>
      <w:r>
        <w:rPr>
          <w:rFonts w:ascii="宋体" w:hAnsi="宋体" w:hint="eastAsia"/>
          <w:sz w:val="24"/>
          <w:szCs w:val="24"/>
        </w:rPr>
        <w:t>供气。</w:t>
      </w:r>
    </w:p>
    <w:p w:rsidR="00EC0003" w:rsidRDefault="00EC0003" w:rsidP="00EC0003">
      <w:pPr>
        <w:spacing w:line="360" w:lineRule="auto"/>
        <w:jc w:val="left"/>
        <w:rPr>
          <w:rFonts w:ascii="宋体" w:hAnsi="宋体"/>
          <w:sz w:val="24"/>
          <w:szCs w:val="24"/>
        </w:rPr>
      </w:pPr>
      <w:r>
        <w:rPr>
          <w:rFonts w:ascii="宋体" w:hAnsi="宋体" w:hint="eastAsia"/>
          <w:sz w:val="24"/>
          <w:szCs w:val="24"/>
        </w:rPr>
        <w:t xml:space="preserve">    在日常运行中发现，现场经常会开启2台鼓风机，池内DO仪表的读数较高，但存在只用一台鼓风机进行曝气即可取得理想出水水质的可能性，有较大的节气、节能空间；而且出水氨氮值偏低，氨氮削减量也较高，往往超过总氮的削减量，证明生化池的硝化比较彻底，但反硝化不足，尚有上升空间。而这和较高的供气量抑制了反硝化有关，会造成出水总氮偏高。如果能通过精确曝气减少一部分曝气量，不仅可以节能，还有助于出水总氮的降低。</w:t>
      </w:r>
    </w:p>
    <w:p w:rsidR="00EC0003" w:rsidRDefault="00EC0003" w:rsidP="00EC0003">
      <w:pPr>
        <w:spacing w:line="360" w:lineRule="auto"/>
        <w:jc w:val="center"/>
        <w:outlineLvl w:val="0"/>
        <w:rPr>
          <w:rFonts w:ascii="宋体" w:hAnsi="宋体"/>
          <w:b/>
          <w:sz w:val="28"/>
          <w:szCs w:val="28"/>
        </w:rPr>
      </w:pPr>
      <w:r>
        <w:rPr>
          <w:rFonts w:ascii="宋体" w:hAnsi="宋体" w:hint="eastAsia"/>
          <w:b/>
          <w:sz w:val="28"/>
          <w:szCs w:val="28"/>
        </w:rPr>
        <w:t>2、内江市污水厂精确曝气工程的实施</w:t>
      </w:r>
    </w:p>
    <w:p w:rsidR="00EC0003" w:rsidRDefault="00EC0003" w:rsidP="00EC0003">
      <w:pPr>
        <w:spacing w:line="360" w:lineRule="auto"/>
        <w:ind w:firstLineChars="150" w:firstLine="360"/>
        <w:jc w:val="left"/>
        <w:outlineLvl w:val="0"/>
        <w:rPr>
          <w:rFonts w:ascii="宋体" w:hAnsi="宋体"/>
          <w:sz w:val="24"/>
          <w:szCs w:val="24"/>
        </w:rPr>
      </w:pPr>
      <w:r>
        <w:rPr>
          <w:rFonts w:ascii="宋体" w:hAnsi="宋体" w:hint="eastAsia"/>
          <w:sz w:val="24"/>
          <w:szCs w:val="24"/>
        </w:rPr>
        <w:t>精确曝气系统（Aeration Volume control System，简称AVS）是一个集成的控制系统，可以实现整个鼓风-曝气环节的自动闭环控制，如鼓风机的启停、</w:t>
      </w:r>
      <w:proofErr w:type="gramStart"/>
      <w:r>
        <w:rPr>
          <w:rFonts w:ascii="宋体" w:hAnsi="宋体" w:hint="eastAsia"/>
          <w:sz w:val="24"/>
          <w:szCs w:val="24"/>
        </w:rPr>
        <w:lastRenderedPageBreak/>
        <w:t>导叶调节</w:t>
      </w:r>
      <w:proofErr w:type="gramEnd"/>
      <w:r>
        <w:rPr>
          <w:rFonts w:ascii="宋体" w:hAnsi="宋体" w:hint="eastAsia"/>
          <w:sz w:val="24"/>
          <w:szCs w:val="24"/>
        </w:rPr>
        <w:t>和阀门开度调节。</w:t>
      </w:r>
    </w:p>
    <w:p w:rsidR="00EC0003" w:rsidRDefault="00EC0003" w:rsidP="00EC0003">
      <w:pPr>
        <w:spacing w:line="360" w:lineRule="auto"/>
        <w:ind w:firstLineChars="200" w:firstLine="480"/>
        <w:jc w:val="left"/>
        <w:rPr>
          <w:rFonts w:ascii="宋体" w:hAnsi="宋体"/>
          <w:sz w:val="24"/>
          <w:szCs w:val="24"/>
        </w:rPr>
      </w:pPr>
      <w:r>
        <w:rPr>
          <w:rFonts w:ascii="宋体" w:hAnsi="宋体" w:hint="eastAsia"/>
          <w:sz w:val="24"/>
          <w:szCs w:val="24"/>
        </w:rPr>
        <w:t>AVS基于活性污泥数学模型和鼓风机-阀门联合控制， 能根据曝气池的需气量合适地供给、分配气量，使曝气池的溶氧尽可能接近预设的目标值，确保出水稳定，以较小的能耗和运行成本来实现出水达标。</w:t>
      </w:r>
    </w:p>
    <w:p w:rsidR="00EC0003" w:rsidRDefault="00EC0003" w:rsidP="00EC0003">
      <w:pPr>
        <w:spacing w:line="360" w:lineRule="auto"/>
        <w:ind w:firstLineChars="200" w:firstLine="480"/>
        <w:jc w:val="left"/>
        <w:rPr>
          <w:rFonts w:ascii="宋体" w:hAnsi="宋体"/>
          <w:sz w:val="24"/>
          <w:szCs w:val="24"/>
        </w:rPr>
      </w:pPr>
      <w:r>
        <w:rPr>
          <w:rFonts w:ascii="宋体" w:hAnsi="宋体" w:hint="eastAsia"/>
          <w:sz w:val="24"/>
          <w:szCs w:val="24"/>
        </w:rPr>
        <w:t>AVS采用“前馈+后</w:t>
      </w:r>
      <w:proofErr w:type="gramStart"/>
      <w:r>
        <w:rPr>
          <w:rFonts w:ascii="宋体" w:hAnsi="宋体" w:hint="eastAsia"/>
          <w:sz w:val="24"/>
          <w:szCs w:val="24"/>
        </w:rPr>
        <w:t>馈</w:t>
      </w:r>
      <w:proofErr w:type="gramEnd"/>
      <w:r>
        <w:rPr>
          <w:rFonts w:ascii="宋体" w:hAnsi="宋体" w:hint="eastAsia"/>
          <w:sz w:val="24"/>
          <w:szCs w:val="24"/>
        </w:rPr>
        <w:t>+模型”组成多参数控制方式，结合其内嵌的控制逻辑能使曝气系统在部分仪表已经损坏的前提下仍实行闭环控制，保证系统的稳定运行。</w:t>
      </w:r>
    </w:p>
    <w:p w:rsidR="00EC0003" w:rsidRDefault="00EC0003" w:rsidP="00EC0003">
      <w:pPr>
        <w:spacing w:line="360" w:lineRule="auto"/>
        <w:ind w:firstLineChars="177" w:firstLine="425"/>
        <w:jc w:val="left"/>
        <w:outlineLvl w:val="0"/>
        <w:rPr>
          <w:rFonts w:ascii="宋体" w:hAnsi="宋体"/>
          <w:sz w:val="24"/>
          <w:szCs w:val="24"/>
        </w:rPr>
      </w:pPr>
      <w:r>
        <w:rPr>
          <w:rFonts w:ascii="宋体" w:hAnsi="宋体" w:hint="eastAsia"/>
          <w:sz w:val="24"/>
          <w:szCs w:val="24"/>
        </w:rPr>
        <w:t>在内江厂对CASS池进行精确曝气改造的过程中，以每组生化</w:t>
      </w:r>
      <w:proofErr w:type="gramStart"/>
      <w:r>
        <w:rPr>
          <w:rFonts w:ascii="宋体" w:hAnsi="宋体" w:hint="eastAsia"/>
          <w:sz w:val="24"/>
          <w:szCs w:val="24"/>
        </w:rPr>
        <w:t>池作为</w:t>
      </w:r>
      <w:proofErr w:type="gramEnd"/>
      <w:r>
        <w:rPr>
          <w:rFonts w:ascii="宋体" w:hAnsi="宋体" w:hint="eastAsia"/>
          <w:sz w:val="24"/>
          <w:szCs w:val="24"/>
        </w:rPr>
        <w:t>一个溶解氧控制区，设计一套就地控制系统，包括一个溶氧仪、一个电动调节活塞阀和一个热式空气流量计。AVS按照总需气量控制鼓风机，通过就地电动空气调节活塞</w:t>
      </w:r>
      <w:proofErr w:type="gramStart"/>
      <w:r>
        <w:rPr>
          <w:rFonts w:ascii="宋体" w:hAnsi="宋体" w:hint="eastAsia"/>
          <w:sz w:val="24"/>
          <w:szCs w:val="24"/>
        </w:rPr>
        <w:t>阀实现</w:t>
      </w:r>
      <w:proofErr w:type="gramEnd"/>
      <w:r>
        <w:rPr>
          <w:rFonts w:ascii="宋体" w:hAnsi="宋体" w:hint="eastAsia"/>
          <w:sz w:val="24"/>
          <w:szCs w:val="24"/>
        </w:rPr>
        <w:t>曝气量在不同溶解氧控制区间的分配，控制结构如下图所示：</w:t>
      </w:r>
    </w:p>
    <w:p w:rsidR="00EC0003" w:rsidRDefault="00EC0003" w:rsidP="00EC0003">
      <w:pPr>
        <w:spacing w:line="360" w:lineRule="auto"/>
        <w:jc w:val="center"/>
        <w:rPr>
          <w:rFonts w:ascii="宋体" w:hAnsi="宋体"/>
        </w:rPr>
      </w:pPr>
      <w:r>
        <w:rPr>
          <w:rFonts w:ascii="宋体" w:hAnsi="宋体"/>
          <w:noProof/>
        </w:rPr>
        <w:drawing>
          <wp:inline distT="0" distB="0" distL="0" distR="0">
            <wp:extent cx="3959225" cy="3847465"/>
            <wp:effectExtent l="1905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959225" cy="3847465"/>
                    </a:xfrm>
                    <a:prstGeom prst="rect">
                      <a:avLst/>
                    </a:prstGeom>
                    <a:noFill/>
                    <a:ln w="9525">
                      <a:noFill/>
                      <a:miter lim="800000"/>
                      <a:headEnd/>
                      <a:tailEnd/>
                    </a:ln>
                  </pic:spPr>
                </pic:pic>
              </a:graphicData>
            </a:graphic>
          </wp:inline>
        </w:drawing>
      </w:r>
    </w:p>
    <w:p w:rsidR="00EC0003" w:rsidRDefault="00EC0003" w:rsidP="00EC0003">
      <w:pPr>
        <w:spacing w:line="360" w:lineRule="auto"/>
        <w:jc w:val="center"/>
        <w:rPr>
          <w:rFonts w:ascii="宋体" w:hAnsi="宋体"/>
        </w:rPr>
      </w:pPr>
      <w:r>
        <w:rPr>
          <w:rFonts w:ascii="宋体" w:hAnsi="宋体" w:hint="eastAsia"/>
        </w:rPr>
        <w:t>图2  AVS溶解氧控制区的划分和仪表设备安装示意图</w:t>
      </w:r>
    </w:p>
    <w:p w:rsidR="00EC0003" w:rsidRDefault="00EC0003" w:rsidP="00EC0003">
      <w:pPr>
        <w:spacing w:line="360" w:lineRule="auto"/>
        <w:jc w:val="left"/>
        <w:rPr>
          <w:rFonts w:ascii="宋体" w:hAnsi="宋体"/>
          <w:sz w:val="24"/>
          <w:szCs w:val="24"/>
        </w:rPr>
      </w:pPr>
      <w:r>
        <w:rPr>
          <w:rFonts w:ascii="宋体" w:hAnsi="宋体" w:hint="eastAsia"/>
          <w:sz w:val="24"/>
          <w:szCs w:val="24"/>
        </w:rPr>
        <w:t xml:space="preserve">  曝气总管上不再通过截止阀的启闭来实现向不同生化池供气，而是彻底打通；在分别通向A 、B池和C、D池的曝气总管上则安装有热式空气流量计和压力变送器。在通向四组生化池的曝气支管上各自装有热式空气流量计和电动活塞阀。每组生化池都安装了</w:t>
      </w:r>
      <w:proofErr w:type="gramStart"/>
      <w:r>
        <w:rPr>
          <w:rFonts w:ascii="宋体" w:hAnsi="宋体" w:hint="eastAsia"/>
          <w:sz w:val="24"/>
          <w:szCs w:val="24"/>
        </w:rPr>
        <w:t>液位计和</w:t>
      </w:r>
      <w:proofErr w:type="gramEnd"/>
      <w:r>
        <w:rPr>
          <w:rFonts w:ascii="宋体" w:hAnsi="宋体" w:hint="eastAsia"/>
          <w:sz w:val="24"/>
          <w:szCs w:val="24"/>
        </w:rPr>
        <w:t>污泥浓度计。</w:t>
      </w:r>
    </w:p>
    <w:p w:rsidR="00EC0003" w:rsidRDefault="00EC0003" w:rsidP="00EC0003">
      <w:pPr>
        <w:spacing w:line="360" w:lineRule="auto"/>
        <w:ind w:firstLineChars="200" w:firstLine="480"/>
        <w:jc w:val="left"/>
        <w:rPr>
          <w:rFonts w:ascii="宋体" w:hAnsi="宋体"/>
          <w:sz w:val="24"/>
          <w:szCs w:val="24"/>
        </w:rPr>
      </w:pPr>
      <w:r>
        <w:rPr>
          <w:rFonts w:ascii="宋体" w:hAnsi="宋体" w:hint="eastAsia"/>
          <w:sz w:val="24"/>
          <w:szCs w:val="24"/>
        </w:rPr>
        <w:lastRenderedPageBreak/>
        <w:t>四套就地控制系统对应四个溶解氧控制区，</w:t>
      </w:r>
      <w:r>
        <w:rPr>
          <w:rFonts w:ascii="宋体" w:hAnsi="宋体"/>
          <w:sz w:val="24"/>
          <w:szCs w:val="24"/>
        </w:rPr>
        <w:t>按照AVS给定的流量</w:t>
      </w:r>
      <w:r>
        <w:rPr>
          <w:rFonts w:ascii="宋体" w:hAnsi="宋体" w:hint="eastAsia"/>
          <w:sz w:val="24"/>
          <w:szCs w:val="24"/>
        </w:rPr>
        <w:t>信号</w:t>
      </w:r>
      <w:r>
        <w:rPr>
          <w:rFonts w:ascii="宋体" w:hAnsi="宋体"/>
          <w:sz w:val="24"/>
          <w:szCs w:val="24"/>
        </w:rPr>
        <w:t>调节</w:t>
      </w:r>
      <w:r>
        <w:rPr>
          <w:rFonts w:ascii="宋体" w:hAnsi="宋体" w:hint="eastAsia"/>
          <w:sz w:val="24"/>
          <w:szCs w:val="24"/>
        </w:rPr>
        <w:t>每一台调节阀的开度</w:t>
      </w:r>
      <w:r>
        <w:rPr>
          <w:rFonts w:ascii="宋体" w:hAnsi="宋体"/>
          <w:sz w:val="24"/>
          <w:szCs w:val="24"/>
        </w:rPr>
        <w:t>，</w:t>
      </w:r>
      <w:r>
        <w:rPr>
          <w:rFonts w:ascii="宋体" w:hAnsi="宋体" w:hint="eastAsia"/>
          <w:sz w:val="24"/>
          <w:szCs w:val="24"/>
        </w:rPr>
        <w:t>使实际气量与设定气量相一致，以满足每个溶解氧控制区的气量需求，从而</w:t>
      </w:r>
      <w:r>
        <w:rPr>
          <w:rFonts w:ascii="宋体" w:hAnsi="宋体"/>
          <w:sz w:val="24"/>
          <w:szCs w:val="24"/>
        </w:rPr>
        <w:t>实现</w:t>
      </w:r>
      <w:r>
        <w:rPr>
          <w:rFonts w:ascii="宋体" w:hAnsi="宋体" w:hint="eastAsia"/>
          <w:sz w:val="24"/>
          <w:szCs w:val="24"/>
        </w:rPr>
        <w:t>按需配气</w:t>
      </w:r>
      <w:r>
        <w:rPr>
          <w:rFonts w:ascii="宋体" w:hAnsi="宋体"/>
          <w:sz w:val="24"/>
          <w:szCs w:val="24"/>
        </w:rPr>
        <w:t>。</w:t>
      </w:r>
    </w:p>
    <w:p w:rsidR="00EC0003" w:rsidRDefault="00EC0003" w:rsidP="00EC0003">
      <w:pPr>
        <w:spacing w:line="360" w:lineRule="auto"/>
        <w:ind w:firstLineChars="150" w:firstLine="360"/>
        <w:jc w:val="left"/>
        <w:rPr>
          <w:rFonts w:ascii="宋体" w:hAnsi="宋体"/>
          <w:sz w:val="24"/>
          <w:szCs w:val="24"/>
        </w:rPr>
      </w:pPr>
      <w:r>
        <w:rPr>
          <w:rFonts w:ascii="宋体" w:hAnsi="宋体" w:hint="eastAsia"/>
          <w:sz w:val="24"/>
          <w:szCs w:val="24"/>
        </w:rPr>
        <w:t>AVS就地控制系统的气量调节示意图如下所示：</w:t>
      </w:r>
    </w:p>
    <w:p w:rsidR="00EC0003" w:rsidRDefault="00EC0003" w:rsidP="00EC0003">
      <w:pPr>
        <w:spacing w:line="360" w:lineRule="auto"/>
        <w:ind w:firstLineChars="300" w:firstLine="630"/>
        <w:jc w:val="left"/>
        <w:rPr>
          <w:rFonts w:ascii="宋体" w:hAnsi="宋体"/>
          <w:szCs w:val="21"/>
        </w:rPr>
      </w:pPr>
      <w:r>
        <w:rPr>
          <w:rFonts w:ascii="宋体" w:hAnsi="宋体"/>
          <w:noProof/>
          <w:szCs w:val="21"/>
        </w:rPr>
        <w:drawing>
          <wp:inline distT="0" distB="0" distL="0" distR="0">
            <wp:extent cx="4097655" cy="185483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4097655" cy="1854835"/>
                    </a:xfrm>
                    <a:prstGeom prst="rect">
                      <a:avLst/>
                    </a:prstGeom>
                    <a:noFill/>
                    <a:ln w="9525">
                      <a:noFill/>
                      <a:miter lim="800000"/>
                      <a:headEnd/>
                      <a:tailEnd/>
                    </a:ln>
                  </pic:spPr>
                </pic:pic>
              </a:graphicData>
            </a:graphic>
          </wp:inline>
        </w:drawing>
      </w:r>
    </w:p>
    <w:p w:rsidR="00EC0003" w:rsidRDefault="00EC0003" w:rsidP="00EC0003">
      <w:pPr>
        <w:spacing w:line="300" w:lineRule="auto"/>
        <w:jc w:val="center"/>
        <w:rPr>
          <w:rFonts w:ascii="宋体" w:hAnsi="宋体"/>
        </w:rPr>
      </w:pPr>
      <w:r>
        <w:rPr>
          <w:rFonts w:ascii="宋体" w:hAnsi="宋体" w:hint="eastAsia"/>
        </w:rPr>
        <w:t xml:space="preserve">图3 </w:t>
      </w:r>
      <w:r>
        <w:rPr>
          <w:rFonts w:ascii="宋体" w:hAnsi="宋体"/>
        </w:rPr>
        <w:t>AVS就地控制系统气量调节示意图</w:t>
      </w:r>
    </w:p>
    <w:p w:rsidR="00EC0003" w:rsidRDefault="00EC0003" w:rsidP="00EC0003">
      <w:pPr>
        <w:spacing w:line="360" w:lineRule="auto"/>
        <w:ind w:firstLineChars="150" w:firstLine="360"/>
        <w:jc w:val="left"/>
        <w:rPr>
          <w:rFonts w:ascii="宋体" w:hAnsi="宋体"/>
          <w:sz w:val="24"/>
          <w:szCs w:val="24"/>
        </w:rPr>
      </w:pPr>
      <w:r>
        <w:rPr>
          <w:rFonts w:ascii="宋体" w:hAnsi="宋体" w:hint="eastAsia"/>
          <w:sz w:val="24"/>
          <w:szCs w:val="24"/>
        </w:rPr>
        <w:t>内江厂一期、二期工程的鼓风机组分别由三台Siemens-Turbo 高速离心鼓风机构成，两用</w:t>
      </w:r>
      <w:proofErr w:type="gramStart"/>
      <w:r>
        <w:rPr>
          <w:rFonts w:ascii="宋体" w:hAnsi="宋体" w:hint="eastAsia"/>
          <w:sz w:val="24"/>
          <w:szCs w:val="24"/>
        </w:rPr>
        <w:t>一</w:t>
      </w:r>
      <w:proofErr w:type="gramEnd"/>
      <w:r>
        <w:rPr>
          <w:rFonts w:ascii="宋体" w:hAnsi="宋体" w:hint="eastAsia"/>
          <w:sz w:val="24"/>
          <w:szCs w:val="24"/>
        </w:rPr>
        <w:t>备。每</w:t>
      </w:r>
      <w:proofErr w:type="gramStart"/>
      <w:r>
        <w:rPr>
          <w:rFonts w:ascii="宋体" w:hAnsi="宋体" w:hint="eastAsia"/>
          <w:sz w:val="24"/>
          <w:szCs w:val="24"/>
        </w:rPr>
        <w:t>台风机</w:t>
      </w:r>
      <w:proofErr w:type="gramEnd"/>
      <w:r>
        <w:rPr>
          <w:rFonts w:ascii="宋体" w:hAnsi="宋体" w:hint="eastAsia"/>
          <w:sz w:val="24"/>
          <w:szCs w:val="24"/>
        </w:rPr>
        <w:t>配置一个单元控制器（LCP），设置一台主控柜（MCP）来负责鼓风机投入启动或关闭台数，</w:t>
      </w:r>
      <w:proofErr w:type="gramStart"/>
      <w:r>
        <w:rPr>
          <w:rFonts w:ascii="宋体" w:hAnsi="宋体" w:hint="eastAsia"/>
          <w:sz w:val="24"/>
          <w:szCs w:val="24"/>
        </w:rPr>
        <w:t>导叶开</w:t>
      </w:r>
      <w:proofErr w:type="gramEnd"/>
      <w:r>
        <w:rPr>
          <w:rFonts w:ascii="宋体" w:hAnsi="宋体" w:hint="eastAsia"/>
          <w:sz w:val="24"/>
          <w:szCs w:val="24"/>
        </w:rPr>
        <w:t>度大小，并能依据相关的信号做完整的控制动作。</w:t>
      </w:r>
      <w:r>
        <w:rPr>
          <w:rFonts w:ascii="宋体" w:hAnsi="宋体"/>
          <w:sz w:val="24"/>
          <w:szCs w:val="24"/>
        </w:rPr>
        <w:t>将</w:t>
      </w:r>
      <w:r>
        <w:rPr>
          <w:rFonts w:ascii="宋体" w:hAnsi="宋体" w:hint="eastAsia"/>
          <w:sz w:val="24"/>
          <w:szCs w:val="24"/>
        </w:rPr>
        <w:t>3</w:t>
      </w:r>
      <w:r>
        <w:rPr>
          <w:rFonts w:ascii="宋体" w:hAnsi="宋体"/>
          <w:sz w:val="24"/>
          <w:szCs w:val="24"/>
        </w:rPr>
        <w:t>台鼓风机作为一组，采用总流量的调节控制方式，根据AVS系统动态计算出来的总风量，通过鼓风机主控柜MCP自动控制所有鼓风机的启停、</w:t>
      </w:r>
      <w:proofErr w:type="gramStart"/>
      <w:r>
        <w:rPr>
          <w:rFonts w:ascii="宋体" w:hAnsi="宋体" w:hint="eastAsia"/>
          <w:sz w:val="24"/>
          <w:szCs w:val="24"/>
        </w:rPr>
        <w:t>导叶开</w:t>
      </w:r>
      <w:proofErr w:type="gramEnd"/>
      <w:r>
        <w:rPr>
          <w:rFonts w:ascii="宋体" w:hAnsi="宋体" w:hint="eastAsia"/>
          <w:sz w:val="24"/>
          <w:szCs w:val="24"/>
        </w:rPr>
        <w:t>度调大或调小以使</w:t>
      </w:r>
      <w:r>
        <w:rPr>
          <w:rFonts w:ascii="宋体" w:hAnsi="宋体"/>
          <w:sz w:val="24"/>
          <w:szCs w:val="24"/>
        </w:rPr>
        <w:t>风量及压力</w:t>
      </w:r>
      <w:r>
        <w:rPr>
          <w:rFonts w:ascii="宋体" w:hAnsi="宋体" w:hint="eastAsia"/>
          <w:sz w:val="24"/>
          <w:szCs w:val="24"/>
        </w:rPr>
        <w:t>满足</w:t>
      </w:r>
      <w:r>
        <w:rPr>
          <w:rFonts w:ascii="宋体" w:hAnsi="宋体"/>
          <w:sz w:val="24"/>
          <w:szCs w:val="24"/>
        </w:rPr>
        <w:t>需求，避免了进水负荷高峰时的曝气不足和进水负荷低谷时的曝气过量，实现了</w:t>
      </w:r>
      <w:r>
        <w:rPr>
          <w:rFonts w:ascii="宋体" w:hAnsi="宋体" w:hint="eastAsia"/>
          <w:sz w:val="24"/>
          <w:szCs w:val="24"/>
        </w:rPr>
        <w:t>曝气过程</w:t>
      </w:r>
      <w:r>
        <w:rPr>
          <w:rFonts w:ascii="宋体" w:hAnsi="宋体"/>
          <w:sz w:val="24"/>
          <w:szCs w:val="24"/>
        </w:rPr>
        <w:t>的精细化、稳定化控制，</w:t>
      </w:r>
      <w:r>
        <w:rPr>
          <w:rFonts w:ascii="宋体" w:hAnsi="宋体" w:hint="eastAsia"/>
          <w:sz w:val="24"/>
          <w:szCs w:val="24"/>
        </w:rPr>
        <w:t>按需曝气</w:t>
      </w:r>
      <w:r>
        <w:rPr>
          <w:rFonts w:ascii="宋体" w:hAnsi="宋体"/>
          <w:sz w:val="24"/>
          <w:szCs w:val="24"/>
        </w:rPr>
        <w:t>节约了曝气能耗。</w:t>
      </w:r>
    </w:p>
    <w:p w:rsidR="00EC0003" w:rsidRDefault="00EC0003" w:rsidP="00EC0003">
      <w:pPr>
        <w:spacing w:line="360" w:lineRule="auto"/>
        <w:ind w:firstLineChars="300" w:firstLine="630"/>
        <w:jc w:val="center"/>
        <w:rPr>
          <w:rFonts w:ascii="宋体" w:hAnsi="宋体"/>
        </w:rPr>
      </w:pPr>
      <w:r>
        <w:rPr>
          <w:rFonts w:ascii="宋体" w:hAnsi="宋体"/>
          <w:noProof/>
          <w:szCs w:val="21"/>
        </w:rPr>
        <w:drawing>
          <wp:inline distT="0" distB="0" distL="0" distR="0">
            <wp:extent cx="4895850" cy="2800350"/>
            <wp:effectExtent l="19050" t="0" r="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a:srcRect/>
                    <a:stretch>
                      <a:fillRect/>
                    </a:stretch>
                  </pic:blipFill>
                  <pic:spPr bwMode="auto">
                    <a:xfrm>
                      <a:off x="0" y="0"/>
                      <a:ext cx="4895850" cy="2800350"/>
                    </a:xfrm>
                    <a:prstGeom prst="rect">
                      <a:avLst/>
                    </a:prstGeom>
                    <a:noFill/>
                    <a:ln w="9525">
                      <a:noFill/>
                      <a:miter lim="800000"/>
                      <a:headEnd/>
                      <a:tailEnd/>
                    </a:ln>
                  </pic:spPr>
                </pic:pic>
              </a:graphicData>
            </a:graphic>
          </wp:inline>
        </w:drawing>
      </w:r>
    </w:p>
    <w:p w:rsidR="00EC0003" w:rsidRDefault="00EC0003" w:rsidP="00EC0003">
      <w:pPr>
        <w:spacing w:line="300" w:lineRule="auto"/>
        <w:jc w:val="center"/>
        <w:rPr>
          <w:rFonts w:ascii="宋体" w:hAnsi="宋体"/>
        </w:rPr>
      </w:pPr>
      <w:r>
        <w:rPr>
          <w:rFonts w:ascii="宋体" w:hAnsi="宋体" w:hint="eastAsia"/>
        </w:rPr>
        <w:lastRenderedPageBreak/>
        <w:t xml:space="preserve">图4  </w:t>
      </w:r>
      <w:r>
        <w:rPr>
          <w:rFonts w:ascii="宋体" w:hAnsi="宋体"/>
        </w:rPr>
        <w:t>AVS鼓风机控制原理示意图</w:t>
      </w:r>
    </w:p>
    <w:p w:rsidR="00EC0003" w:rsidRDefault="00EC0003" w:rsidP="00EC0003">
      <w:pPr>
        <w:spacing w:line="300" w:lineRule="auto"/>
        <w:jc w:val="left"/>
        <w:rPr>
          <w:rFonts w:ascii="宋体" w:hAnsi="宋体"/>
        </w:rPr>
      </w:pPr>
    </w:p>
    <w:p w:rsidR="00EC0003" w:rsidRDefault="00EC0003" w:rsidP="00EC0003">
      <w:pPr>
        <w:spacing w:line="300" w:lineRule="auto"/>
        <w:jc w:val="center"/>
        <w:rPr>
          <w:rFonts w:ascii="宋体" w:hAnsi="宋体"/>
          <w:b/>
          <w:sz w:val="28"/>
          <w:szCs w:val="28"/>
        </w:rPr>
      </w:pPr>
      <w:r>
        <w:rPr>
          <w:rFonts w:ascii="宋体" w:hAnsi="宋体" w:hint="eastAsia"/>
          <w:b/>
          <w:sz w:val="28"/>
          <w:szCs w:val="28"/>
        </w:rPr>
        <w:t>3、 运行效果评价</w:t>
      </w:r>
    </w:p>
    <w:p w:rsidR="00EC0003" w:rsidRDefault="00EC0003" w:rsidP="00EC0003">
      <w:pPr>
        <w:spacing w:line="360" w:lineRule="auto"/>
        <w:ind w:firstLineChars="200" w:firstLine="480"/>
        <w:jc w:val="left"/>
        <w:rPr>
          <w:rFonts w:ascii="宋体" w:hAnsi="宋体"/>
          <w:sz w:val="24"/>
          <w:szCs w:val="24"/>
        </w:rPr>
      </w:pPr>
      <w:r>
        <w:rPr>
          <w:rFonts w:ascii="宋体" w:hAnsi="宋体" w:hint="eastAsia"/>
          <w:sz w:val="24"/>
          <w:szCs w:val="24"/>
        </w:rPr>
        <w:t>内江厂二期在2013年8月投运的同时实施了AVS， 二期在2013年10月开始实施AVS改造。经过数月的调试，运行效果趋于稳定，实现了曝气系统的闭环控制，即从鼓风机到各个支管配气的全自动控制，对溶解氧的精细化控制和对曝气时段的按需供配气，使得出水水质更加稳定，有效降低了处理单方水的鼓风机能耗（相较未实施AVS的历史数据而言），实现了工艺运行的优化和节能降耗。</w:t>
      </w:r>
    </w:p>
    <w:p w:rsidR="00EC0003" w:rsidRDefault="00EC0003" w:rsidP="00EC0003">
      <w:pPr>
        <w:spacing w:line="360" w:lineRule="auto"/>
        <w:jc w:val="left"/>
        <w:outlineLvl w:val="0"/>
        <w:rPr>
          <w:rFonts w:ascii="宋体" w:hAnsi="宋体"/>
          <w:b/>
          <w:sz w:val="28"/>
          <w:szCs w:val="28"/>
        </w:rPr>
      </w:pPr>
      <w:r>
        <w:rPr>
          <w:rFonts w:ascii="宋体" w:hAnsi="宋体" w:hint="eastAsia"/>
          <w:b/>
          <w:sz w:val="28"/>
          <w:szCs w:val="28"/>
        </w:rPr>
        <w:t>3.1 溶解氧控制效果评价</w:t>
      </w:r>
    </w:p>
    <w:p w:rsidR="00EC0003" w:rsidRDefault="00EC0003" w:rsidP="00EC0003">
      <w:pPr>
        <w:spacing w:line="360" w:lineRule="auto"/>
        <w:ind w:firstLineChars="150" w:firstLine="360"/>
        <w:jc w:val="left"/>
        <w:rPr>
          <w:rFonts w:ascii="宋体" w:hAnsi="宋体"/>
          <w:sz w:val="24"/>
          <w:szCs w:val="24"/>
        </w:rPr>
      </w:pPr>
      <w:r>
        <w:rPr>
          <w:rFonts w:ascii="宋体" w:hAnsi="宋体" w:hint="eastAsia"/>
          <w:sz w:val="24"/>
          <w:szCs w:val="24"/>
        </w:rPr>
        <w:t>为了对比两种不同的曝气模式对溶解氧的影响，分别</w:t>
      </w:r>
      <w:proofErr w:type="gramStart"/>
      <w:r>
        <w:rPr>
          <w:rFonts w:ascii="宋体" w:hAnsi="宋体" w:hint="eastAsia"/>
          <w:sz w:val="24"/>
          <w:szCs w:val="24"/>
        </w:rPr>
        <w:t>取实施</w:t>
      </w:r>
      <w:proofErr w:type="gramEnd"/>
      <w:r>
        <w:rPr>
          <w:rFonts w:ascii="宋体" w:hAnsi="宋体" w:hint="eastAsia"/>
          <w:sz w:val="24"/>
          <w:szCs w:val="24"/>
        </w:rPr>
        <w:t>了AVS的二期生物池溶解氧浓度和</w:t>
      </w:r>
      <w:proofErr w:type="gramStart"/>
      <w:r>
        <w:rPr>
          <w:rFonts w:ascii="宋体" w:hAnsi="宋体" w:hint="eastAsia"/>
          <w:sz w:val="24"/>
          <w:szCs w:val="24"/>
        </w:rPr>
        <w:t>同期未</w:t>
      </w:r>
      <w:proofErr w:type="gramEnd"/>
      <w:r>
        <w:rPr>
          <w:rFonts w:ascii="宋体" w:hAnsi="宋体" w:hint="eastAsia"/>
          <w:sz w:val="24"/>
          <w:szCs w:val="24"/>
        </w:rPr>
        <w:t>实施AVS的一期生物池溶解氧浓度作为对照组：</w:t>
      </w:r>
    </w:p>
    <w:p w:rsidR="00EC0003" w:rsidRDefault="00EC0003" w:rsidP="00EC0003">
      <w:pPr>
        <w:spacing w:line="360" w:lineRule="auto"/>
        <w:jc w:val="center"/>
        <w:rPr>
          <w:rFonts w:ascii="宋体" w:hAnsi="宋体"/>
        </w:rPr>
      </w:pPr>
      <w:r>
        <w:rPr>
          <w:rFonts w:ascii="宋体" w:hAnsi="宋体"/>
        </w:rPr>
        <w:pict>
          <v:rect id="Rectangle 5" o:spid="_x0000_s1027" style="position:absolute;left:0;text-align:left;margin-left:74.95pt;margin-top:16.6pt;width:262.85pt;height:37.7pt;z-index:251661312" o:preferrelative="t" filled="f" stroked="f">
            <v:textbox>
              <w:txbxContent>
                <w:p w:rsidR="00EC0003" w:rsidRDefault="00EC0003" w:rsidP="00EC0003">
                  <w:pPr>
                    <w:rPr>
                      <w:rFonts w:ascii="微软雅黑" w:eastAsia="微软雅黑" w:hAnsi="微软雅黑"/>
                      <w:b/>
                      <w:color w:val="FF0000"/>
                    </w:rPr>
                  </w:pPr>
                  <w:r>
                    <w:rPr>
                      <w:rFonts w:ascii="微软雅黑" w:eastAsia="微软雅黑" w:hAnsi="微软雅黑" w:hint="eastAsia"/>
                      <w:b/>
                      <w:color w:val="FF0000"/>
                    </w:rPr>
                    <w:t>未实施AVS的一期一号池溶解氧，DO未受控</w:t>
                  </w:r>
                </w:p>
              </w:txbxContent>
            </v:textbox>
          </v:rect>
        </w:pict>
      </w:r>
      <w:r>
        <w:rPr>
          <w:rFonts w:ascii="宋体" w:hAnsi="宋体"/>
          <w:noProof/>
        </w:rPr>
        <w:drawing>
          <wp:inline distT="0" distB="0" distL="0" distR="0">
            <wp:extent cx="4857750" cy="2009775"/>
            <wp:effectExtent l="19050" t="0" r="0" b="0"/>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a:srcRect/>
                    <a:stretch>
                      <a:fillRect/>
                    </a:stretch>
                  </pic:blipFill>
                  <pic:spPr bwMode="auto">
                    <a:xfrm>
                      <a:off x="0" y="0"/>
                      <a:ext cx="4857750" cy="2009775"/>
                    </a:xfrm>
                    <a:prstGeom prst="rect">
                      <a:avLst/>
                    </a:prstGeom>
                    <a:noFill/>
                    <a:ln w="9525">
                      <a:noFill/>
                      <a:miter lim="800000"/>
                      <a:headEnd/>
                      <a:tailEnd/>
                    </a:ln>
                  </pic:spPr>
                </pic:pic>
              </a:graphicData>
            </a:graphic>
          </wp:inline>
        </w:drawing>
      </w:r>
    </w:p>
    <w:p w:rsidR="00EC0003" w:rsidRDefault="00EC0003" w:rsidP="00EC0003">
      <w:pPr>
        <w:spacing w:line="360" w:lineRule="auto"/>
        <w:jc w:val="center"/>
        <w:rPr>
          <w:rFonts w:ascii="宋体" w:hAnsi="宋体"/>
        </w:rPr>
      </w:pPr>
      <w:r>
        <w:rPr>
          <w:rFonts w:ascii="宋体" w:hAnsi="宋体"/>
        </w:rPr>
        <w:pict>
          <v:rect id="Rectangle 4" o:spid="_x0000_s1026" style="position:absolute;left:0;text-align:left;margin-left:74.95pt;margin-top:30.7pt;width:231.05pt;height:34.3pt;z-index:251660288" o:preferrelative="t" filled="f" stroked="f">
            <v:textbox>
              <w:txbxContent>
                <w:p w:rsidR="00EC0003" w:rsidRDefault="00EC0003" w:rsidP="00EC0003">
                  <w:pPr>
                    <w:rPr>
                      <w:rFonts w:ascii="微软雅黑" w:eastAsia="微软雅黑" w:hAnsi="微软雅黑"/>
                      <w:b/>
                      <w:color w:val="FF0000"/>
                    </w:rPr>
                  </w:pPr>
                  <w:r>
                    <w:rPr>
                      <w:rFonts w:ascii="微软雅黑" w:eastAsia="微软雅黑" w:hAnsi="微软雅黑" w:hint="eastAsia"/>
                      <w:b/>
                      <w:color w:val="FF0000"/>
                    </w:rPr>
                    <w:t>实施AVS</w:t>
                  </w:r>
                  <w:r>
                    <w:rPr>
                      <w:rFonts w:ascii="微软雅黑" w:eastAsia="微软雅黑" w:hAnsi="微软雅黑" w:hint="eastAsia"/>
                      <w:b/>
                      <w:color w:val="FF0000"/>
                    </w:rPr>
                    <w:t>的二期五号池溶解氧，DO受控</w:t>
                  </w:r>
                </w:p>
              </w:txbxContent>
            </v:textbox>
          </v:rect>
        </w:pict>
      </w:r>
      <w:r>
        <w:rPr>
          <w:rFonts w:ascii="宋体" w:hAnsi="宋体"/>
          <w:noProof/>
        </w:rPr>
        <w:drawing>
          <wp:inline distT="0" distB="0" distL="0" distR="0">
            <wp:extent cx="4886325" cy="2152650"/>
            <wp:effectExtent l="19050" t="0" r="9525" b="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9"/>
                    <a:srcRect/>
                    <a:stretch>
                      <a:fillRect/>
                    </a:stretch>
                  </pic:blipFill>
                  <pic:spPr bwMode="auto">
                    <a:xfrm>
                      <a:off x="0" y="0"/>
                      <a:ext cx="4886325" cy="2152650"/>
                    </a:xfrm>
                    <a:prstGeom prst="rect">
                      <a:avLst/>
                    </a:prstGeom>
                    <a:noFill/>
                    <a:ln w="9525">
                      <a:noFill/>
                      <a:miter lim="800000"/>
                      <a:headEnd/>
                      <a:tailEnd/>
                    </a:ln>
                  </pic:spPr>
                </pic:pic>
              </a:graphicData>
            </a:graphic>
          </wp:inline>
        </w:drawing>
      </w:r>
    </w:p>
    <w:p w:rsidR="00EC0003" w:rsidRDefault="00EC0003" w:rsidP="00EC0003">
      <w:pPr>
        <w:spacing w:line="360" w:lineRule="auto"/>
        <w:jc w:val="center"/>
        <w:rPr>
          <w:rFonts w:ascii="宋体" w:hAnsi="宋体"/>
        </w:rPr>
      </w:pPr>
      <w:r>
        <w:rPr>
          <w:rFonts w:ascii="宋体" w:hAnsi="宋体" w:hint="eastAsia"/>
        </w:rPr>
        <w:t>图5 实施AVS与否的DO控制效果对比</w:t>
      </w:r>
    </w:p>
    <w:p w:rsidR="00EC0003" w:rsidRDefault="00EC0003" w:rsidP="00EC0003">
      <w:pPr>
        <w:spacing w:line="360" w:lineRule="auto"/>
        <w:ind w:firstLineChars="200" w:firstLine="480"/>
        <w:jc w:val="left"/>
        <w:rPr>
          <w:rFonts w:ascii="宋体" w:hAnsi="宋体"/>
          <w:sz w:val="24"/>
          <w:szCs w:val="24"/>
        </w:rPr>
      </w:pPr>
      <w:r>
        <w:rPr>
          <w:rFonts w:ascii="宋体" w:hAnsi="宋体" w:hint="eastAsia"/>
          <w:sz w:val="24"/>
          <w:szCs w:val="24"/>
        </w:rPr>
        <w:t>经过比对可知，实施AVS的E池溶解氧浓度DO105的控制精度要远好于同时期采取传统人工控制模式的A池溶解氧浓度DO101（二期的E池在工艺运行条件</w:t>
      </w:r>
      <w:r>
        <w:rPr>
          <w:rFonts w:ascii="宋体" w:hAnsi="宋体" w:hint="eastAsia"/>
          <w:sz w:val="24"/>
          <w:szCs w:val="24"/>
        </w:rPr>
        <w:lastRenderedPageBreak/>
        <w:t>上接近一期的A池，适合作为平行对照组），而且浓度数值也大为下降。在不予曝气的工艺阶段（沉淀和排水），实施了AVS之后也极少有DO残留。这就表明，采用AVS有助于溶解氧的精细化控制，而且能节省气量。</w:t>
      </w:r>
    </w:p>
    <w:p w:rsidR="00EC0003" w:rsidRDefault="00EC0003" w:rsidP="00EC0003">
      <w:pPr>
        <w:spacing w:line="360" w:lineRule="auto"/>
        <w:jc w:val="left"/>
        <w:outlineLvl w:val="0"/>
        <w:rPr>
          <w:rFonts w:ascii="宋体" w:hAnsi="宋体"/>
          <w:b/>
          <w:sz w:val="28"/>
          <w:szCs w:val="28"/>
        </w:rPr>
      </w:pPr>
      <w:r>
        <w:rPr>
          <w:rFonts w:ascii="宋体" w:hAnsi="宋体" w:hint="eastAsia"/>
          <w:b/>
          <w:sz w:val="28"/>
          <w:szCs w:val="28"/>
        </w:rPr>
        <w:t>3.3 出水水质效果评价</w:t>
      </w:r>
    </w:p>
    <w:p w:rsidR="00EC0003" w:rsidRDefault="00EC0003" w:rsidP="00EC0003">
      <w:pPr>
        <w:spacing w:line="360" w:lineRule="auto"/>
        <w:ind w:firstLineChars="200" w:firstLine="480"/>
        <w:jc w:val="left"/>
        <w:rPr>
          <w:rFonts w:ascii="宋体" w:hAnsi="宋体"/>
          <w:sz w:val="24"/>
          <w:szCs w:val="24"/>
        </w:rPr>
      </w:pPr>
      <w:r>
        <w:rPr>
          <w:rFonts w:ascii="宋体" w:hAnsi="宋体" w:hint="eastAsia"/>
          <w:sz w:val="24"/>
          <w:szCs w:val="24"/>
        </w:rPr>
        <w:t>进水水量、水质的时变性和波动性对于如何调节</w:t>
      </w:r>
      <w:proofErr w:type="gramStart"/>
      <w:r>
        <w:rPr>
          <w:rFonts w:ascii="宋体" w:hAnsi="宋体" w:hint="eastAsia"/>
          <w:sz w:val="24"/>
          <w:szCs w:val="24"/>
        </w:rPr>
        <w:t>好氧区的</w:t>
      </w:r>
      <w:proofErr w:type="gramEnd"/>
      <w:r>
        <w:rPr>
          <w:rFonts w:ascii="宋体" w:hAnsi="宋体" w:hint="eastAsia"/>
          <w:sz w:val="24"/>
          <w:szCs w:val="24"/>
        </w:rPr>
        <w:t>曝气量以满足活性污泥对溶解氧的需求提出了很高的要求，传统的曝气控制方式（人工调节或PID）存在滞后性，往往导致</w:t>
      </w:r>
      <w:proofErr w:type="gramStart"/>
      <w:r>
        <w:rPr>
          <w:rFonts w:ascii="宋体" w:hAnsi="宋体" w:hint="eastAsia"/>
          <w:sz w:val="24"/>
          <w:szCs w:val="24"/>
        </w:rPr>
        <w:t>好氧区的</w:t>
      </w:r>
      <w:proofErr w:type="gramEnd"/>
      <w:r>
        <w:rPr>
          <w:rFonts w:ascii="宋体" w:hAnsi="宋体" w:hint="eastAsia"/>
          <w:sz w:val="24"/>
          <w:szCs w:val="24"/>
        </w:rPr>
        <w:t>溶解氧浓度波动过大，带来出水质的不稳定性和能耗的浪费。在内江污水厂经过对AVS系统的调试，至2014年初，总体的出水水质已基本趋于稳定。通过将2011年~2013年的年均主要污染物去除率（其中2013年仅统计到7月，即AVS投运之前的历史数据）同AVS投运之后的月均主要污染物去除率加以比较，COD、氨氮的去除率均和历年持平，而总氮、总磷的去除率则有所改善：</w:t>
      </w:r>
    </w:p>
    <w:p w:rsidR="00EC0003" w:rsidRDefault="00EC0003" w:rsidP="00EC0003">
      <w:pPr>
        <w:spacing w:line="360" w:lineRule="auto"/>
        <w:jc w:val="center"/>
        <w:rPr>
          <w:rFonts w:ascii="宋体" w:hAnsi="宋体"/>
        </w:rPr>
      </w:pPr>
      <w:r>
        <w:rPr>
          <w:rFonts w:ascii="宋体" w:hAnsi="宋体" w:hint="eastAsia"/>
        </w:rPr>
        <w:t>表1  AVS投运前后主要污染物去除率比较</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51"/>
        <w:gridCol w:w="1457"/>
        <w:gridCol w:w="1704"/>
        <w:gridCol w:w="1705"/>
        <w:gridCol w:w="1705"/>
      </w:tblGrid>
      <w:tr w:rsidR="00EC0003" w:rsidTr="006A716D">
        <w:tc>
          <w:tcPr>
            <w:tcW w:w="1951" w:type="dxa"/>
            <w:vAlign w:val="center"/>
          </w:tcPr>
          <w:p w:rsidR="00EC0003" w:rsidRDefault="00EC0003" w:rsidP="006A716D">
            <w:pPr>
              <w:jc w:val="center"/>
              <w:rPr>
                <w:rFonts w:ascii="宋体" w:hAnsi="宋体"/>
              </w:rPr>
            </w:pPr>
            <w:r>
              <w:rPr>
                <w:rFonts w:ascii="宋体" w:hAnsi="宋体" w:hint="eastAsia"/>
              </w:rPr>
              <w:t>时间段</w:t>
            </w:r>
          </w:p>
        </w:tc>
        <w:tc>
          <w:tcPr>
            <w:tcW w:w="1457" w:type="dxa"/>
            <w:vAlign w:val="center"/>
          </w:tcPr>
          <w:p w:rsidR="00EC0003" w:rsidRDefault="00EC0003" w:rsidP="006A716D">
            <w:pPr>
              <w:jc w:val="center"/>
              <w:rPr>
                <w:rFonts w:ascii="宋体" w:hAnsi="宋体"/>
              </w:rPr>
            </w:pPr>
            <w:r>
              <w:rPr>
                <w:rFonts w:ascii="宋体" w:hAnsi="宋体" w:hint="eastAsia"/>
              </w:rPr>
              <w:t>COD去除率</w:t>
            </w:r>
          </w:p>
        </w:tc>
        <w:tc>
          <w:tcPr>
            <w:tcW w:w="1704" w:type="dxa"/>
            <w:vAlign w:val="center"/>
          </w:tcPr>
          <w:p w:rsidR="00EC0003" w:rsidRDefault="00EC0003" w:rsidP="006A716D">
            <w:pPr>
              <w:jc w:val="center"/>
              <w:rPr>
                <w:rFonts w:ascii="宋体" w:hAnsi="宋体"/>
              </w:rPr>
            </w:pPr>
            <w:r>
              <w:rPr>
                <w:rFonts w:ascii="宋体" w:hAnsi="宋体" w:hint="eastAsia"/>
              </w:rPr>
              <w:t>氨氮去除率</w:t>
            </w:r>
          </w:p>
        </w:tc>
        <w:tc>
          <w:tcPr>
            <w:tcW w:w="1705" w:type="dxa"/>
            <w:vAlign w:val="center"/>
          </w:tcPr>
          <w:p w:rsidR="00EC0003" w:rsidRDefault="00EC0003" w:rsidP="006A716D">
            <w:pPr>
              <w:jc w:val="center"/>
              <w:rPr>
                <w:rFonts w:ascii="宋体" w:hAnsi="宋体"/>
              </w:rPr>
            </w:pPr>
            <w:r>
              <w:rPr>
                <w:rFonts w:ascii="宋体" w:hAnsi="宋体" w:hint="eastAsia"/>
              </w:rPr>
              <w:t>总氮去除率</w:t>
            </w:r>
          </w:p>
        </w:tc>
        <w:tc>
          <w:tcPr>
            <w:tcW w:w="1705" w:type="dxa"/>
            <w:vAlign w:val="center"/>
          </w:tcPr>
          <w:p w:rsidR="00EC0003" w:rsidRDefault="00EC0003" w:rsidP="006A716D">
            <w:pPr>
              <w:jc w:val="center"/>
              <w:rPr>
                <w:rFonts w:ascii="宋体" w:hAnsi="宋体"/>
              </w:rPr>
            </w:pPr>
            <w:r>
              <w:rPr>
                <w:rFonts w:ascii="宋体" w:hAnsi="宋体" w:hint="eastAsia"/>
              </w:rPr>
              <w:t>总磷去除率</w:t>
            </w:r>
          </w:p>
        </w:tc>
      </w:tr>
      <w:tr w:rsidR="00EC0003" w:rsidTr="006A716D">
        <w:tc>
          <w:tcPr>
            <w:tcW w:w="1951" w:type="dxa"/>
            <w:vAlign w:val="center"/>
          </w:tcPr>
          <w:p w:rsidR="00EC0003" w:rsidRDefault="00EC0003" w:rsidP="006A716D">
            <w:pPr>
              <w:jc w:val="center"/>
              <w:rPr>
                <w:rFonts w:ascii="宋体" w:hAnsi="宋体"/>
              </w:rPr>
            </w:pPr>
            <w:r>
              <w:rPr>
                <w:rFonts w:ascii="宋体" w:hAnsi="宋体" w:hint="eastAsia"/>
              </w:rPr>
              <w:t>2011年</w:t>
            </w:r>
          </w:p>
        </w:tc>
        <w:tc>
          <w:tcPr>
            <w:tcW w:w="1457" w:type="dxa"/>
            <w:vAlign w:val="center"/>
          </w:tcPr>
          <w:p w:rsidR="00EC0003" w:rsidRDefault="00EC0003" w:rsidP="006A716D">
            <w:pPr>
              <w:jc w:val="center"/>
              <w:rPr>
                <w:rFonts w:ascii="宋体" w:hAnsi="宋体"/>
              </w:rPr>
            </w:pPr>
            <w:r>
              <w:rPr>
                <w:rFonts w:ascii="宋体" w:hAnsi="宋体"/>
              </w:rPr>
              <w:t xml:space="preserve">85.98 </w:t>
            </w:r>
          </w:p>
        </w:tc>
        <w:tc>
          <w:tcPr>
            <w:tcW w:w="1704" w:type="dxa"/>
            <w:vAlign w:val="center"/>
          </w:tcPr>
          <w:p w:rsidR="00EC0003" w:rsidRDefault="00EC0003" w:rsidP="006A716D">
            <w:pPr>
              <w:jc w:val="center"/>
              <w:rPr>
                <w:rFonts w:ascii="宋体" w:hAnsi="宋体"/>
              </w:rPr>
            </w:pPr>
            <w:r>
              <w:rPr>
                <w:rFonts w:ascii="宋体" w:hAnsi="宋体"/>
              </w:rPr>
              <w:t xml:space="preserve">88.90 </w:t>
            </w:r>
          </w:p>
        </w:tc>
        <w:tc>
          <w:tcPr>
            <w:tcW w:w="1705" w:type="dxa"/>
            <w:vAlign w:val="center"/>
          </w:tcPr>
          <w:p w:rsidR="00EC0003" w:rsidRDefault="00EC0003" w:rsidP="006A716D">
            <w:pPr>
              <w:jc w:val="center"/>
              <w:rPr>
                <w:rFonts w:ascii="宋体" w:hAnsi="宋体"/>
              </w:rPr>
            </w:pPr>
            <w:r>
              <w:rPr>
                <w:rFonts w:ascii="宋体" w:hAnsi="宋体" w:hint="eastAsia"/>
              </w:rPr>
              <w:t>——</w:t>
            </w:r>
          </w:p>
        </w:tc>
        <w:tc>
          <w:tcPr>
            <w:tcW w:w="1705" w:type="dxa"/>
            <w:vAlign w:val="center"/>
          </w:tcPr>
          <w:p w:rsidR="00EC0003" w:rsidRDefault="00EC0003" w:rsidP="006A716D">
            <w:pPr>
              <w:jc w:val="center"/>
              <w:rPr>
                <w:rFonts w:ascii="宋体" w:hAnsi="宋体"/>
              </w:rPr>
            </w:pPr>
            <w:r>
              <w:rPr>
                <w:rFonts w:ascii="宋体" w:hAnsi="宋体" w:hint="eastAsia"/>
              </w:rPr>
              <w:t>——</w:t>
            </w:r>
          </w:p>
        </w:tc>
      </w:tr>
      <w:tr w:rsidR="00EC0003" w:rsidTr="006A716D">
        <w:tc>
          <w:tcPr>
            <w:tcW w:w="1951" w:type="dxa"/>
            <w:vAlign w:val="center"/>
          </w:tcPr>
          <w:p w:rsidR="00EC0003" w:rsidRDefault="00EC0003" w:rsidP="006A716D">
            <w:pPr>
              <w:jc w:val="center"/>
              <w:rPr>
                <w:rFonts w:ascii="宋体" w:hAnsi="宋体"/>
              </w:rPr>
            </w:pPr>
            <w:r>
              <w:rPr>
                <w:rFonts w:ascii="宋体" w:hAnsi="宋体" w:hint="eastAsia"/>
              </w:rPr>
              <w:t>2012年</w:t>
            </w:r>
          </w:p>
        </w:tc>
        <w:tc>
          <w:tcPr>
            <w:tcW w:w="1457" w:type="dxa"/>
            <w:vAlign w:val="center"/>
          </w:tcPr>
          <w:p w:rsidR="00EC0003" w:rsidRDefault="00EC0003" w:rsidP="006A716D">
            <w:pPr>
              <w:jc w:val="center"/>
              <w:rPr>
                <w:rFonts w:ascii="宋体" w:hAnsi="宋体"/>
              </w:rPr>
            </w:pPr>
            <w:r>
              <w:rPr>
                <w:rFonts w:ascii="宋体" w:hAnsi="宋体"/>
              </w:rPr>
              <w:t xml:space="preserve">90.13 </w:t>
            </w:r>
          </w:p>
        </w:tc>
        <w:tc>
          <w:tcPr>
            <w:tcW w:w="1704" w:type="dxa"/>
            <w:vAlign w:val="center"/>
          </w:tcPr>
          <w:p w:rsidR="00EC0003" w:rsidRDefault="00EC0003" w:rsidP="006A716D">
            <w:pPr>
              <w:jc w:val="center"/>
              <w:rPr>
                <w:rFonts w:ascii="宋体" w:hAnsi="宋体"/>
              </w:rPr>
            </w:pPr>
            <w:r>
              <w:rPr>
                <w:rFonts w:ascii="宋体" w:hAnsi="宋体"/>
              </w:rPr>
              <w:t xml:space="preserve">88.91 </w:t>
            </w:r>
          </w:p>
        </w:tc>
        <w:tc>
          <w:tcPr>
            <w:tcW w:w="1705" w:type="dxa"/>
            <w:vAlign w:val="center"/>
          </w:tcPr>
          <w:p w:rsidR="00EC0003" w:rsidRDefault="00EC0003" w:rsidP="006A716D">
            <w:pPr>
              <w:jc w:val="center"/>
              <w:rPr>
                <w:rFonts w:ascii="宋体" w:hAnsi="宋体"/>
              </w:rPr>
            </w:pPr>
            <w:r>
              <w:rPr>
                <w:rFonts w:ascii="宋体" w:hAnsi="宋体"/>
              </w:rPr>
              <w:t xml:space="preserve">61.78 </w:t>
            </w:r>
          </w:p>
        </w:tc>
        <w:tc>
          <w:tcPr>
            <w:tcW w:w="1705" w:type="dxa"/>
            <w:vAlign w:val="center"/>
          </w:tcPr>
          <w:p w:rsidR="00EC0003" w:rsidRDefault="00EC0003" w:rsidP="006A716D">
            <w:pPr>
              <w:jc w:val="center"/>
              <w:rPr>
                <w:rFonts w:ascii="宋体" w:hAnsi="宋体"/>
              </w:rPr>
            </w:pPr>
            <w:r>
              <w:rPr>
                <w:rFonts w:ascii="宋体" w:hAnsi="宋体"/>
              </w:rPr>
              <w:t xml:space="preserve">71.89 </w:t>
            </w:r>
          </w:p>
        </w:tc>
      </w:tr>
      <w:tr w:rsidR="00EC0003" w:rsidTr="006A716D">
        <w:tc>
          <w:tcPr>
            <w:tcW w:w="1951" w:type="dxa"/>
            <w:vAlign w:val="center"/>
          </w:tcPr>
          <w:p w:rsidR="00EC0003" w:rsidRDefault="00EC0003" w:rsidP="006A716D">
            <w:pPr>
              <w:jc w:val="center"/>
              <w:rPr>
                <w:rFonts w:ascii="宋体" w:hAnsi="宋体"/>
              </w:rPr>
            </w:pPr>
            <w:r>
              <w:rPr>
                <w:rFonts w:ascii="宋体" w:hAnsi="宋体" w:hint="eastAsia"/>
              </w:rPr>
              <w:t>2013年</w:t>
            </w:r>
          </w:p>
        </w:tc>
        <w:tc>
          <w:tcPr>
            <w:tcW w:w="1457" w:type="dxa"/>
            <w:vAlign w:val="center"/>
          </w:tcPr>
          <w:p w:rsidR="00EC0003" w:rsidRDefault="00EC0003" w:rsidP="006A716D">
            <w:pPr>
              <w:jc w:val="center"/>
              <w:rPr>
                <w:rFonts w:ascii="宋体" w:hAnsi="宋体"/>
              </w:rPr>
            </w:pPr>
            <w:r>
              <w:rPr>
                <w:rFonts w:ascii="宋体" w:hAnsi="宋体"/>
              </w:rPr>
              <w:t xml:space="preserve">89.56 </w:t>
            </w:r>
          </w:p>
        </w:tc>
        <w:tc>
          <w:tcPr>
            <w:tcW w:w="1704" w:type="dxa"/>
            <w:vAlign w:val="center"/>
          </w:tcPr>
          <w:p w:rsidR="00EC0003" w:rsidRDefault="00EC0003" w:rsidP="006A716D">
            <w:pPr>
              <w:jc w:val="center"/>
              <w:rPr>
                <w:rFonts w:ascii="宋体" w:hAnsi="宋体"/>
              </w:rPr>
            </w:pPr>
            <w:r>
              <w:rPr>
                <w:rFonts w:ascii="宋体" w:hAnsi="宋体"/>
              </w:rPr>
              <w:t xml:space="preserve">86.06 </w:t>
            </w:r>
          </w:p>
        </w:tc>
        <w:tc>
          <w:tcPr>
            <w:tcW w:w="1705" w:type="dxa"/>
            <w:vAlign w:val="center"/>
          </w:tcPr>
          <w:p w:rsidR="00EC0003" w:rsidRDefault="00EC0003" w:rsidP="006A716D">
            <w:pPr>
              <w:jc w:val="center"/>
              <w:rPr>
                <w:rFonts w:ascii="宋体" w:hAnsi="宋体"/>
              </w:rPr>
            </w:pPr>
            <w:r>
              <w:rPr>
                <w:rFonts w:ascii="宋体" w:hAnsi="宋体"/>
              </w:rPr>
              <w:t xml:space="preserve">60.63 </w:t>
            </w:r>
          </w:p>
        </w:tc>
        <w:tc>
          <w:tcPr>
            <w:tcW w:w="1705" w:type="dxa"/>
            <w:vAlign w:val="center"/>
          </w:tcPr>
          <w:p w:rsidR="00EC0003" w:rsidRDefault="00EC0003" w:rsidP="006A716D">
            <w:pPr>
              <w:jc w:val="center"/>
              <w:rPr>
                <w:rFonts w:ascii="宋体" w:hAnsi="宋体"/>
              </w:rPr>
            </w:pPr>
            <w:r>
              <w:rPr>
                <w:rFonts w:ascii="宋体" w:hAnsi="宋体"/>
              </w:rPr>
              <w:t xml:space="preserve">64.91 </w:t>
            </w:r>
          </w:p>
        </w:tc>
      </w:tr>
      <w:tr w:rsidR="00EC0003" w:rsidTr="006A716D">
        <w:tc>
          <w:tcPr>
            <w:tcW w:w="1951" w:type="dxa"/>
            <w:vAlign w:val="center"/>
          </w:tcPr>
          <w:p w:rsidR="00EC0003" w:rsidRDefault="00EC0003" w:rsidP="006A716D">
            <w:pPr>
              <w:jc w:val="center"/>
              <w:rPr>
                <w:rFonts w:ascii="宋体" w:hAnsi="宋体"/>
              </w:rPr>
            </w:pPr>
            <w:r>
              <w:rPr>
                <w:rFonts w:ascii="宋体" w:hAnsi="宋体" w:hint="eastAsia"/>
              </w:rPr>
              <w:t>AVS投运后</w:t>
            </w:r>
          </w:p>
        </w:tc>
        <w:tc>
          <w:tcPr>
            <w:tcW w:w="1457" w:type="dxa"/>
            <w:vAlign w:val="center"/>
          </w:tcPr>
          <w:p w:rsidR="00EC0003" w:rsidRDefault="00EC0003" w:rsidP="006A716D">
            <w:pPr>
              <w:jc w:val="center"/>
              <w:rPr>
                <w:rFonts w:ascii="宋体" w:hAnsi="宋体"/>
              </w:rPr>
            </w:pPr>
            <w:r>
              <w:rPr>
                <w:rFonts w:ascii="宋体" w:hAnsi="宋体"/>
              </w:rPr>
              <w:t xml:space="preserve">87.79 </w:t>
            </w:r>
          </w:p>
        </w:tc>
        <w:tc>
          <w:tcPr>
            <w:tcW w:w="1704" w:type="dxa"/>
            <w:vAlign w:val="center"/>
          </w:tcPr>
          <w:p w:rsidR="00EC0003" w:rsidRDefault="00EC0003" w:rsidP="006A716D">
            <w:pPr>
              <w:jc w:val="center"/>
              <w:rPr>
                <w:rFonts w:ascii="宋体" w:hAnsi="宋体"/>
              </w:rPr>
            </w:pPr>
            <w:r>
              <w:rPr>
                <w:rFonts w:ascii="宋体" w:hAnsi="宋体"/>
              </w:rPr>
              <w:t xml:space="preserve">88.32 </w:t>
            </w:r>
          </w:p>
        </w:tc>
        <w:tc>
          <w:tcPr>
            <w:tcW w:w="1705" w:type="dxa"/>
            <w:vAlign w:val="center"/>
          </w:tcPr>
          <w:p w:rsidR="00EC0003" w:rsidRDefault="00EC0003" w:rsidP="006A716D">
            <w:pPr>
              <w:jc w:val="center"/>
              <w:rPr>
                <w:rFonts w:ascii="宋体" w:hAnsi="宋体"/>
              </w:rPr>
            </w:pPr>
            <w:r>
              <w:rPr>
                <w:rFonts w:ascii="宋体" w:hAnsi="宋体"/>
              </w:rPr>
              <w:t xml:space="preserve">66.81 </w:t>
            </w:r>
          </w:p>
        </w:tc>
        <w:tc>
          <w:tcPr>
            <w:tcW w:w="1705" w:type="dxa"/>
            <w:vAlign w:val="center"/>
          </w:tcPr>
          <w:p w:rsidR="00EC0003" w:rsidRDefault="00EC0003" w:rsidP="006A716D">
            <w:pPr>
              <w:jc w:val="center"/>
              <w:rPr>
                <w:rFonts w:ascii="宋体" w:hAnsi="宋体"/>
              </w:rPr>
            </w:pPr>
            <w:r>
              <w:rPr>
                <w:rFonts w:ascii="宋体" w:hAnsi="宋体"/>
              </w:rPr>
              <w:t xml:space="preserve">84.33 </w:t>
            </w:r>
          </w:p>
        </w:tc>
      </w:tr>
    </w:tbl>
    <w:p w:rsidR="00EC0003" w:rsidRDefault="00EC0003" w:rsidP="00EC0003">
      <w:pPr>
        <w:spacing w:line="360" w:lineRule="auto"/>
        <w:jc w:val="left"/>
        <w:rPr>
          <w:rFonts w:ascii="宋体" w:hAnsi="宋体"/>
          <w:szCs w:val="21"/>
        </w:rPr>
      </w:pPr>
      <w:r>
        <w:rPr>
          <w:rFonts w:ascii="宋体" w:hAnsi="宋体" w:hint="eastAsia"/>
          <w:szCs w:val="21"/>
        </w:rPr>
        <w:t>注： AVS投运后的数据是2013年8月——2014年2月的月均水质数据，而且是二期出水和一期出水的混合； 2011年~2013年的数据是当年的年均水质数据，其中2013年度的只统计到7月，全部来自一期。</w:t>
      </w:r>
    </w:p>
    <w:p w:rsidR="00EC0003" w:rsidRDefault="00EC0003" w:rsidP="00EC0003">
      <w:pPr>
        <w:spacing w:line="360" w:lineRule="auto"/>
        <w:ind w:firstLineChars="200" w:firstLine="480"/>
        <w:jc w:val="left"/>
        <w:rPr>
          <w:rFonts w:ascii="宋体" w:hAnsi="宋体"/>
          <w:sz w:val="24"/>
          <w:szCs w:val="24"/>
        </w:rPr>
      </w:pPr>
      <w:r>
        <w:rPr>
          <w:rFonts w:ascii="宋体" w:hAnsi="宋体" w:hint="eastAsia"/>
          <w:sz w:val="24"/>
          <w:szCs w:val="24"/>
        </w:rPr>
        <w:t>AVS投运后，出水总氮去除率相较2012年度和2013年（截止7月）分别提高了</w:t>
      </w:r>
      <w:r>
        <w:rPr>
          <w:rFonts w:ascii="宋体" w:hAnsi="宋体"/>
          <w:sz w:val="24"/>
          <w:szCs w:val="24"/>
        </w:rPr>
        <w:t>8.14%</w:t>
      </w:r>
      <w:r>
        <w:rPr>
          <w:rFonts w:ascii="宋体" w:hAnsi="宋体" w:hint="eastAsia"/>
          <w:sz w:val="24"/>
          <w:szCs w:val="24"/>
        </w:rPr>
        <w:t>和</w:t>
      </w:r>
      <w:r>
        <w:rPr>
          <w:rFonts w:ascii="宋体" w:hAnsi="宋体"/>
          <w:sz w:val="24"/>
          <w:szCs w:val="24"/>
        </w:rPr>
        <w:t>10.19%</w:t>
      </w:r>
      <w:r>
        <w:rPr>
          <w:rFonts w:ascii="宋体" w:hAnsi="宋体" w:hint="eastAsia"/>
          <w:sz w:val="24"/>
          <w:szCs w:val="24"/>
        </w:rPr>
        <w:t>，出水总磷去除率相较这两个时间段分别提高了</w:t>
      </w:r>
      <w:r>
        <w:rPr>
          <w:rFonts w:ascii="宋体" w:hAnsi="宋体"/>
          <w:sz w:val="24"/>
          <w:szCs w:val="24"/>
        </w:rPr>
        <w:t>17.3%</w:t>
      </w:r>
      <w:r>
        <w:rPr>
          <w:rFonts w:ascii="宋体" w:hAnsi="宋体" w:hint="eastAsia"/>
          <w:sz w:val="24"/>
          <w:szCs w:val="24"/>
        </w:rPr>
        <w:t>和</w:t>
      </w:r>
      <w:r>
        <w:rPr>
          <w:rFonts w:ascii="宋体" w:hAnsi="宋体"/>
          <w:sz w:val="24"/>
          <w:szCs w:val="24"/>
        </w:rPr>
        <w:t>29.92%</w:t>
      </w:r>
      <w:r>
        <w:rPr>
          <w:rFonts w:ascii="宋体" w:hAnsi="宋体" w:hint="eastAsia"/>
          <w:sz w:val="24"/>
          <w:szCs w:val="24"/>
        </w:rPr>
        <w:t xml:space="preserve">，有明显的改善。出水COD和氨氮的去除率和历史数据持平。 </w:t>
      </w:r>
    </w:p>
    <w:p w:rsidR="00EC0003" w:rsidRDefault="00EC0003" w:rsidP="00EC0003">
      <w:pPr>
        <w:spacing w:line="360" w:lineRule="auto"/>
        <w:jc w:val="left"/>
        <w:outlineLvl w:val="0"/>
        <w:rPr>
          <w:rFonts w:ascii="宋体" w:hAnsi="宋体"/>
          <w:b/>
          <w:sz w:val="28"/>
          <w:szCs w:val="28"/>
        </w:rPr>
      </w:pPr>
      <w:r>
        <w:rPr>
          <w:rFonts w:ascii="宋体" w:hAnsi="宋体" w:hint="eastAsia"/>
          <w:b/>
          <w:sz w:val="28"/>
          <w:szCs w:val="28"/>
        </w:rPr>
        <w:t>3.4 节能降耗效果评价</w:t>
      </w:r>
    </w:p>
    <w:p w:rsidR="00EC0003" w:rsidRDefault="00EC0003" w:rsidP="00EC0003">
      <w:pPr>
        <w:spacing w:line="360" w:lineRule="auto"/>
        <w:ind w:firstLineChars="200" w:firstLine="480"/>
        <w:jc w:val="left"/>
        <w:rPr>
          <w:rFonts w:ascii="宋体" w:hAnsi="宋体"/>
          <w:sz w:val="24"/>
          <w:szCs w:val="24"/>
        </w:rPr>
      </w:pPr>
      <w:r>
        <w:rPr>
          <w:rFonts w:ascii="宋体" w:hAnsi="宋体" w:hint="eastAsia"/>
          <w:sz w:val="24"/>
          <w:szCs w:val="24"/>
        </w:rPr>
        <w:t>内江厂实施AVS后，能实现按需供气，避免了能源的浪费，有助于降低运行成本。</w:t>
      </w:r>
    </w:p>
    <w:p w:rsidR="00EC0003" w:rsidRDefault="00EC0003" w:rsidP="00EC0003">
      <w:pPr>
        <w:spacing w:line="360" w:lineRule="auto"/>
        <w:ind w:firstLineChars="200" w:firstLine="480"/>
        <w:jc w:val="left"/>
        <w:rPr>
          <w:rFonts w:ascii="宋体" w:hAnsi="宋体"/>
        </w:rPr>
      </w:pPr>
      <w:r>
        <w:rPr>
          <w:rFonts w:ascii="宋体" w:hAnsi="宋体" w:hint="eastAsia"/>
          <w:sz w:val="24"/>
          <w:szCs w:val="24"/>
        </w:rPr>
        <w:t>将2011年~2013年的一期历史数据分别同投运AVS以后的二期、一期进行处理单方水鼓风机电耗的对比：</w:t>
      </w:r>
    </w:p>
    <w:p w:rsidR="00EC0003" w:rsidRDefault="00EC0003" w:rsidP="00EC0003">
      <w:pPr>
        <w:spacing w:line="360" w:lineRule="auto"/>
        <w:jc w:val="center"/>
        <w:rPr>
          <w:rFonts w:ascii="宋体" w:hAnsi="宋体"/>
        </w:rPr>
      </w:pPr>
      <w:r>
        <w:rPr>
          <w:rFonts w:ascii="宋体" w:hAnsi="宋体" w:hint="eastAsia"/>
        </w:rPr>
        <w:t>表2  AVS投运前后能耗指标的比较（1）</w:t>
      </w:r>
    </w:p>
    <w:tbl>
      <w:tblPr>
        <w:tblW w:w="89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02"/>
        <w:gridCol w:w="1154"/>
        <w:gridCol w:w="1549"/>
        <w:gridCol w:w="1549"/>
        <w:gridCol w:w="1327"/>
      </w:tblGrid>
      <w:tr w:rsidR="00EC0003" w:rsidTr="006A716D">
        <w:tc>
          <w:tcPr>
            <w:tcW w:w="3402" w:type="dxa"/>
          </w:tcPr>
          <w:p w:rsidR="00EC0003" w:rsidRDefault="00EC0003" w:rsidP="006A716D">
            <w:pPr>
              <w:jc w:val="center"/>
              <w:rPr>
                <w:rFonts w:ascii="宋体" w:hAnsi="宋体"/>
              </w:rPr>
            </w:pPr>
            <w:r>
              <w:rPr>
                <w:rFonts w:ascii="宋体" w:hAnsi="宋体" w:hint="eastAsia"/>
              </w:rPr>
              <w:lastRenderedPageBreak/>
              <w:t>能耗指标</w:t>
            </w:r>
          </w:p>
        </w:tc>
        <w:tc>
          <w:tcPr>
            <w:tcW w:w="1154" w:type="dxa"/>
          </w:tcPr>
          <w:p w:rsidR="00EC0003" w:rsidRDefault="00EC0003" w:rsidP="006A716D">
            <w:pPr>
              <w:jc w:val="center"/>
              <w:rPr>
                <w:rFonts w:ascii="宋体" w:hAnsi="宋体"/>
              </w:rPr>
            </w:pPr>
            <w:r>
              <w:rPr>
                <w:rFonts w:ascii="宋体" w:hAnsi="宋体" w:hint="eastAsia"/>
              </w:rPr>
              <w:t>2011年</w:t>
            </w:r>
          </w:p>
        </w:tc>
        <w:tc>
          <w:tcPr>
            <w:tcW w:w="1549" w:type="dxa"/>
          </w:tcPr>
          <w:p w:rsidR="00EC0003" w:rsidRDefault="00EC0003" w:rsidP="006A716D">
            <w:pPr>
              <w:jc w:val="center"/>
              <w:rPr>
                <w:rFonts w:ascii="宋体" w:hAnsi="宋体"/>
              </w:rPr>
            </w:pPr>
            <w:r>
              <w:rPr>
                <w:rFonts w:ascii="宋体" w:hAnsi="宋体" w:hint="eastAsia"/>
              </w:rPr>
              <w:t>2012年</w:t>
            </w:r>
          </w:p>
        </w:tc>
        <w:tc>
          <w:tcPr>
            <w:tcW w:w="1549" w:type="dxa"/>
          </w:tcPr>
          <w:p w:rsidR="00EC0003" w:rsidRDefault="00EC0003" w:rsidP="006A716D">
            <w:pPr>
              <w:jc w:val="center"/>
              <w:rPr>
                <w:rFonts w:ascii="宋体" w:hAnsi="宋体"/>
              </w:rPr>
            </w:pPr>
            <w:r>
              <w:rPr>
                <w:rFonts w:ascii="宋体" w:hAnsi="宋体" w:hint="eastAsia"/>
              </w:rPr>
              <w:t>2013年*</w:t>
            </w:r>
          </w:p>
        </w:tc>
        <w:tc>
          <w:tcPr>
            <w:tcW w:w="1327" w:type="dxa"/>
          </w:tcPr>
          <w:p w:rsidR="00EC0003" w:rsidRDefault="00EC0003" w:rsidP="006A716D">
            <w:pPr>
              <w:jc w:val="center"/>
              <w:rPr>
                <w:rFonts w:ascii="宋体" w:hAnsi="宋体"/>
              </w:rPr>
            </w:pPr>
            <w:r>
              <w:rPr>
                <w:rFonts w:ascii="宋体" w:hAnsi="宋体" w:hint="eastAsia"/>
              </w:rPr>
              <w:t>AVS投运后</w:t>
            </w:r>
          </w:p>
        </w:tc>
      </w:tr>
      <w:tr w:rsidR="00EC0003" w:rsidTr="006A716D">
        <w:tc>
          <w:tcPr>
            <w:tcW w:w="3402" w:type="dxa"/>
          </w:tcPr>
          <w:p w:rsidR="00EC0003" w:rsidRDefault="00EC0003" w:rsidP="006A716D">
            <w:pPr>
              <w:jc w:val="center"/>
              <w:rPr>
                <w:rFonts w:ascii="宋体" w:hAnsi="宋体"/>
              </w:rPr>
            </w:pPr>
            <w:r>
              <w:rPr>
                <w:rFonts w:ascii="宋体" w:hAnsi="宋体" w:hint="eastAsia"/>
              </w:rPr>
              <w:t>鼓风机电耗（kWh）</w:t>
            </w:r>
          </w:p>
        </w:tc>
        <w:tc>
          <w:tcPr>
            <w:tcW w:w="1154" w:type="dxa"/>
          </w:tcPr>
          <w:p w:rsidR="00EC0003" w:rsidRDefault="00EC0003" w:rsidP="006A716D">
            <w:pPr>
              <w:pStyle w:val="a4"/>
              <w:spacing w:before="0" w:beforeAutospacing="0" w:after="0" w:afterAutospacing="0"/>
              <w:jc w:val="center"/>
              <w:rPr>
                <w:rFonts w:cs="Times New Roman"/>
                <w:kern w:val="2"/>
                <w:sz w:val="21"/>
                <w:szCs w:val="22"/>
              </w:rPr>
            </w:pPr>
            <w:r>
              <w:rPr>
                <w:rFonts w:cs="Times New Roman" w:hint="eastAsia"/>
                <w:kern w:val="2"/>
                <w:sz w:val="21"/>
                <w:szCs w:val="22"/>
              </w:rPr>
              <w:t xml:space="preserve">4766 </w:t>
            </w:r>
          </w:p>
        </w:tc>
        <w:tc>
          <w:tcPr>
            <w:tcW w:w="1549" w:type="dxa"/>
          </w:tcPr>
          <w:p w:rsidR="00EC0003" w:rsidRDefault="00EC0003" w:rsidP="006A716D">
            <w:pPr>
              <w:pStyle w:val="a4"/>
              <w:spacing w:before="0" w:beforeAutospacing="0" w:after="0" w:afterAutospacing="0"/>
              <w:jc w:val="center"/>
              <w:rPr>
                <w:rFonts w:cs="Times New Roman"/>
                <w:kern w:val="2"/>
                <w:sz w:val="21"/>
                <w:szCs w:val="22"/>
              </w:rPr>
            </w:pPr>
            <w:r>
              <w:rPr>
                <w:rFonts w:cs="Times New Roman" w:hint="eastAsia"/>
                <w:kern w:val="2"/>
                <w:sz w:val="21"/>
                <w:szCs w:val="22"/>
              </w:rPr>
              <w:t xml:space="preserve">5036 </w:t>
            </w:r>
          </w:p>
        </w:tc>
        <w:tc>
          <w:tcPr>
            <w:tcW w:w="1549" w:type="dxa"/>
          </w:tcPr>
          <w:p w:rsidR="00EC0003" w:rsidRDefault="00EC0003" w:rsidP="006A716D">
            <w:pPr>
              <w:pStyle w:val="a4"/>
              <w:spacing w:before="0" w:beforeAutospacing="0" w:after="0" w:afterAutospacing="0"/>
              <w:jc w:val="center"/>
              <w:rPr>
                <w:rFonts w:cs="Times New Roman"/>
                <w:kern w:val="2"/>
                <w:sz w:val="21"/>
                <w:szCs w:val="22"/>
              </w:rPr>
            </w:pPr>
            <w:r>
              <w:rPr>
                <w:rFonts w:cs="Times New Roman" w:hint="eastAsia"/>
                <w:kern w:val="2"/>
                <w:sz w:val="21"/>
                <w:szCs w:val="22"/>
              </w:rPr>
              <w:t xml:space="preserve">3920 </w:t>
            </w:r>
          </w:p>
        </w:tc>
        <w:tc>
          <w:tcPr>
            <w:tcW w:w="1327" w:type="dxa"/>
          </w:tcPr>
          <w:p w:rsidR="00EC0003" w:rsidRDefault="00EC0003" w:rsidP="006A716D">
            <w:pPr>
              <w:pStyle w:val="a4"/>
              <w:spacing w:before="0" w:beforeAutospacing="0" w:after="0" w:afterAutospacing="0"/>
              <w:jc w:val="center"/>
              <w:rPr>
                <w:rFonts w:cs="Times New Roman"/>
                <w:kern w:val="2"/>
                <w:sz w:val="21"/>
                <w:szCs w:val="22"/>
              </w:rPr>
            </w:pPr>
            <w:r>
              <w:rPr>
                <w:rFonts w:cs="Times New Roman"/>
                <w:kern w:val="2"/>
                <w:sz w:val="21"/>
                <w:szCs w:val="22"/>
              </w:rPr>
              <w:t xml:space="preserve">3753 </w:t>
            </w:r>
          </w:p>
        </w:tc>
      </w:tr>
      <w:tr w:rsidR="00EC0003" w:rsidTr="006A716D">
        <w:tc>
          <w:tcPr>
            <w:tcW w:w="3402" w:type="dxa"/>
          </w:tcPr>
          <w:p w:rsidR="00EC0003" w:rsidRDefault="00EC0003" w:rsidP="006A716D">
            <w:pPr>
              <w:jc w:val="center"/>
              <w:rPr>
                <w:rFonts w:ascii="宋体" w:hAnsi="宋体"/>
              </w:rPr>
            </w:pPr>
            <w:r>
              <w:rPr>
                <w:rFonts w:ascii="宋体" w:hAnsi="宋体" w:hint="eastAsia"/>
              </w:rPr>
              <w:t>处理水量（m</w:t>
            </w:r>
            <w:r>
              <w:rPr>
                <w:rFonts w:ascii="宋体" w:hAnsi="宋体" w:hint="eastAsia"/>
                <w:vertAlign w:val="superscript"/>
              </w:rPr>
              <w:t>3</w:t>
            </w:r>
            <w:r>
              <w:rPr>
                <w:rFonts w:ascii="宋体" w:hAnsi="宋体" w:hint="eastAsia"/>
              </w:rPr>
              <w:t>）</w:t>
            </w:r>
          </w:p>
        </w:tc>
        <w:tc>
          <w:tcPr>
            <w:tcW w:w="1154" w:type="dxa"/>
          </w:tcPr>
          <w:p w:rsidR="00EC0003" w:rsidRDefault="00EC0003" w:rsidP="006A716D">
            <w:pPr>
              <w:pStyle w:val="a4"/>
              <w:spacing w:before="0" w:beforeAutospacing="0" w:after="0" w:afterAutospacing="0"/>
              <w:jc w:val="center"/>
              <w:rPr>
                <w:rFonts w:cs="Times New Roman"/>
                <w:kern w:val="2"/>
                <w:sz w:val="21"/>
                <w:szCs w:val="22"/>
              </w:rPr>
            </w:pPr>
            <w:r>
              <w:rPr>
                <w:rFonts w:cs="Times New Roman" w:hint="eastAsia"/>
                <w:kern w:val="2"/>
                <w:sz w:val="21"/>
                <w:szCs w:val="22"/>
              </w:rPr>
              <w:t xml:space="preserve">39735 </w:t>
            </w:r>
          </w:p>
        </w:tc>
        <w:tc>
          <w:tcPr>
            <w:tcW w:w="1549" w:type="dxa"/>
            <w:vAlign w:val="center"/>
          </w:tcPr>
          <w:p w:rsidR="00EC0003" w:rsidRDefault="00EC0003" w:rsidP="006A716D">
            <w:pPr>
              <w:pStyle w:val="a4"/>
              <w:spacing w:before="0" w:beforeAutospacing="0" w:after="0" w:afterAutospacing="0"/>
              <w:jc w:val="center"/>
              <w:rPr>
                <w:rFonts w:cs="Times New Roman"/>
                <w:kern w:val="2"/>
                <w:sz w:val="21"/>
                <w:szCs w:val="22"/>
              </w:rPr>
            </w:pPr>
            <w:r>
              <w:rPr>
                <w:rFonts w:cs="Times New Roman"/>
                <w:kern w:val="2"/>
                <w:sz w:val="21"/>
                <w:szCs w:val="22"/>
              </w:rPr>
              <w:t>42150</w:t>
            </w:r>
          </w:p>
        </w:tc>
        <w:tc>
          <w:tcPr>
            <w:tcW w:w="1549" w:type="dxa"/>
            <w:vAlign w:val="center"/>
          </w:tcPr>
          <w:p w:rsidR="00EC0003" w:rsidRDefault="00EC0003" w:rsidP="006A716D">
            <w:pPr>
              <w:pStyle w:val="a4"/>
              <w:spacing w:before="0" w:beforeAutospacing="0" w:after="0" w:afterAutospacing="0"/>
              <w:jc w:val="center"/>
              <w:rPr>
                <w:rFonts w:cs="Times New Roman"/>
                <w:kern w:val="2"/>
                <w:sz w:val="21"/>
                <w:szCs w:val="22"/>
              </w:rPr>
            </w:pPr>
            <w:r>
              <w:rPr>
                <w:rFonts w:cs="Times New Roman"/>
                <w:kern w:val="2"/>
                <w:sz w:val="21"/>
                <w:szCs w:val="22"/>
              </w:rPr>
              <w:t>32160</w:t>
            </w:r>
          </w:p>
        </w:tc>
        <w:tc>
          <w:tcPr>
            <w:tcW w:w="1327" w:type="dxa"/>
          </w:tcPr>
          <w:p w:rsidR="00EC0003" w:rsidRDefault="00EC0003" w:rsidP="006A716D">
            <w:pPr>
              <w:pStyle w:val="a4"/>
              <w:spacing w:before="0" w:beforeAutospacing="0" w:after="0" w:afterAutospacing="0"/>
              <w:jc w:val="center"/>
              <w:rPr>
                <w:rFonts w:cs="Times New Roman"/>
                <w:kern w:val="2"/>
                <w:sz w:val="21"/>
                <w:szCs w:val="22"/>
              </w:rPr>
            </w:pPr>
            <w:r>
              <w:rPr>
                <w:rFonts w:cs="Times New Roman"/>
                <w:kern w:val="2"/>
                <w:sz w:val="21"/>
                <w:szCs w:val="22"/>
              </w:rPr>
              <w:t xml:space="preserve">34527 </w:t>
            </w:r>
          </w:p>
        </w:tc>
      </w:tr>
      <w:tr w:rsidR="00EC0003" w:rsidTr="006A716D">
        <w:tc>
          <w:tcPr>
            <w:tcW w:w="3402" w:type="dxa"/>
          </w:tcPr>
          <w:p w:rsidR="00EC0003" w:rsidRDefault="00EC0003" w:rsidP="006A716D">
            <w:pPr>
              <w:jc w:val="center"/>
              <w:rPr>
                <w:rFonts w:ascii="宋体" w:hAnsi="宋体"/>
              </w:rPr>
            </w:pPr>
            <w:r>
              <w:rPr>
                <w:rFonts w:ascii="宋体" w:hAnsi="宋体" w:hint="eastAsia"/>
              </w:rPr>
              <w:t>处理单方水鼓风机电耗（kWh/m</w:t>
            </w:r>
            <w:r>
              <w:rPr>
                <w:rFonts w:ascii="宋体" w:hAnsi="宋体" w:hint="eastAsia"/>
                <w:vertAlign w:val="superscript"/>
              </w:rPr>
              <w:t>3</w:t>
            </w:r>
            <w:r>
              <w:rPr>
                <w:rFonts w:ascii="宋体" w:hAnsi="宋体" w:hint="eastAsia"/>
              </w:rPr>
              <w:t>）</w:t>
            </w:r>
          </w:p>
        </w:tc>
        <w:tc>
          <w:tcPr>
            <w:tcW w:w="1154" w:type="dxa"/>
            <w:vAlign w:val="center"/>
          </w:tcPr>
          <w:p w:rsidR="00EC0003" w:rsidRDefault="00EC0003" w:rsidP="006A716D">
            <w:pPr>
              <w:pStyle w:val="a4"/>
              <w:spacing w:before="0" w:beforeAutospacing="0" w:after="0" w:afterAutospacing="0"/>
              <w:jc w:val="center"/>
              <w:rPr>
                <w:rFonts w:cs="Times New Roman"/>
                <w:kern w:val="2"/>
                <w:sz w:val="21"/>
                <w:szCs w:val="22"/>
              </w:rPr>
            </w:pPr>
            <w:r>
              <w:rPr>
                <w:rFonts w:cs="Times New Roman" w:hint="eastAsia"/>
                <w:kern w:val="2"/>
                <w:sz w:val="21"/>
                <w:szCs w:val="22"/>
              </w:rPr>
              <w:t>0.1199</w:t>
            </w:r>
          </w:p>
        </w:tc>
        <w:tc>
          <w:tcPr>
            <w:tcW w:w="1549" w:type="dxa"/>
            <w:vAlign w:val="center"/>
          </w:tcPr>
          <w:p w:rsidR="00EC0003" w:rsidRDefault="00EC0003" w:rsidP="006A716D">
            <w:pPr>
              <w:pStyle w:val="a4"/>
              <w:spacing w:before="0" w:beforeAutospacing="0" w:after="0" w:afterAutospacing="0"/>
              <w:jc w:val="center"/>
              <w:rPr>
                <w:rFonts w:cs="Times New Roman"/>
                <w:kern w:val="2"/>
                <w:sz w:val="21"/>
                <w:szCs w:val="22"/>
              </w:rPr>
            </w:pPr>
            <w:r>
              <w:rPr>
                <w:rFonts w:cs="Times New Roman"/>
                <w:kern w:val="2"/>
                <w:sz w:val="21"/>
                <w:szCs w:val="22"/>
              </w:rPr>
              <w:t>0.119</w:t>
            </w:r>
            <w:r>
              <w:rPr>
                <w:rFonts w:cs="Times New Roman" w:hint="eastAsia"/>
                <w:kern w:val="2"/>
                <w:sz w:val="21"/>
                <w:szCs w:val="22"/>
              </w:rPr>
              <w:t>5</w:t>
            </w:r>
          </w:p>
        </w:tc>
        <w:tc>
          <w:tcPr>
            <w:tcW w:w="1549" w:type="dxa"/>
            <w:vAlign w:val="center"/>
          </w:tcPr>
          <w:p w:rsidR="00EC0003" w:rsidRDefault="00EC0003" w:rsidP="006A716D">
            <w:pPr>
              <w:pStyle w:val="a4"/>
              <w:spacing w:before="0" w:beforeAutospacing="0" w:after="0" w:afterAutospacing="0"/>
              <w:jc w:val="center"/>
              <w:rPr>
                <w:rFonts w:cs="Times New Roman"/>
                <w:kern w:val="2"/>
                <w:sz w:val="21"/>
                <w:szCs w:val="22"/>
              </w:rPr>
            </w:pPr>
            <w:r>
              <w:rPr>
                <w:rFonts w:cs="Times New Roman"/>
                <w:kern w:val="2"/>
                <w:sz w:val="21"/>
                <w:szCs w:val="22"/>
              </w:rPr>
              <w:t>0.121</w:t>
            </w:r>
            <w:r>
              <w:rPr>
                <w:rFonts w:cs="Times New Roman" w:hint="eastAsia"/>
                <w:kern w:val="2"/>
                <w:sz w:val="21"/>
                <w:szCs w:val="22"/>
              </w:rPr>
              <w:t>9</w:t>
            </w:r>
          </w:p>
        </w:tc>
        <w:tc>
          <w:tcPr>
            <w:tcW w:w="1327" w:type="dxa"/>
            <w:vAlign w:val="center"/>
          </w:tcPr>
          <w:p w:rsidR="00EC0003" w:rsidRDefault="00EC0003" w:rsidP="006A716D">
            <w:pPr>
              <w:pStyle w:val="a4"/>
              <w:spacing w:before="0" w:beforeAutospacing="0" w:after="0" w:afterAutospacing="0"/>
              <w:jc w:val="center"/>
              <w:rPr>
                <w:rFonts w:cs="Times New Roman"/>
                <w:kern w:val="2"/>
                <w:sz w:val="21"/>
                <w:szCs w:val="22"/>
              </w:rPr>
            </w:pPr>
            <w:r>
              <w:rPr>
                <w:rFonts w:cs="Times New Roman"/>
                <w:kern w:val="2"/>
                <w:sz w:val="21"/>
                <w:szCs w:val="22"/>
              </w:rPr>
              <w:t>0.1087</w:t>
            </w:r>
          </w:p>
        </w:tc>
      </w:tr>
    </w:tbl>
    <w:p w:rsidR="00EC0003" w:rsidRDefault="00EC0003" w:rsidP="00EC0003">
      <w:pPr>
        <w:spacing w:line="360" w:lineRule="auto"/>
        <w:ind w:firstLineChars="200" w:firstLine="420"/>
        <w:jc w:val="left"/>
        <w:rPr>
          <w:rFonts w:ascii="宋体" w:hAnsi="宋体"/>
        </w:rPr>
      </w:pPr>
      <w:r>
        <w:rPr>
          <w:rFonts w:ascii="宋体" w:hAnsi="宋体" w:hint="eastAsia"/>
        </w:rPr>
        <w:t>注：表2是将二期投运后（2013.8~2014.2）的能耗结果分析和一期的历史数据进行对比。其中一期2013年的结果只统计到7月，即二期AVS投运之前。</w:t>
      </w:r>
    </w:p>
    <w:p w:rsidR="00EC0003" w:rsidRDefault="00EC0003" w:rsidP="00EC0003">
      <w:pPr>
        <w:spacing w:line="360" w:lineRule="auto"/>
        <w:jc w:val="center"/>
        <w:rPr>
          <w:rFonts w:ascii="宋体" w:hAnsi="宋体"/>
        </w:rPr>
      </w:pPr>
      <w:r>
        <w:rPr>
          <w:rFonts w:ascii="宋体" w:hAnsi="宋体" w:hint="eastAsia"/>
        </w:rPr>
        <w:t>表3  AVS投运前后能耗指标的比较（2）</w:t>
      </w:r>
    </w:p>
    <w:tbl>
      <w:tblPr>
        <w:tblW w:w="89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02"/>
        <w:gridCol w:w="1317"/>
        <w:gridCol w:w="1420"/>
        <w:gridCol w:w="1421"/>
        <w:gridCol w:w="1421"/>
      </w:tblGrid>
      <w:tr w:rsidR="00EC0003" w:rsidTr="006A716D">
        <w:tc>
          <w:tcPr>
            <w:tcW w:w="3402" w:type="dxa"/>
            <w:vAlign w:val="center"/>
          </w:tcPr>
          <w:p w:rsidR="00EC0003" w:rsidRDefault="00EC0003" w:rsidP="006A716D">
            <w:pPr>
              <w:jc w:val="center"/>
              <w:rPr>
                <w:rFonts w:ascii="宋体" w:hAnsi="宋体"/>
              </w:rPr>
            </w:pPr>
            <w:r>
              <w:rPr>
                <w:rFonts w:ascii="宋体" w:hAnsi="宋体" w:hint="eastAsia"/>
              </w:rPr>
              <w:t>能耗指标</w:t>
            </w:r>
          </w:p>
        </w:tc>
        <w:tc>
          <w:tcPr>
            <w:tcW w:w="1317" w:type="dxa"/>
            <w:vAlign w:val="center"/>
          </w:tcPr>
          <w:p w:rsidR="00EC0003" w:rsidRDefault="00EC0003" w:rsidP="006A716D">
            <w:pPr>
              <w:jc w:val="center"/>
              <w:rPr>
                <w:rFonts w:ascii="宋体" w:hAnsi="宋体"/>
              </w:rPr>
            </w:pPr>
            <w:r>
              <w:rPr>
                <w:rFonts w:ascii="宋体" w:hAnsi="宋体" w:hint="eastAsia"/>
              </w:rPr>
              <w:t>2011年</w:t>
            </w:r>
          </w:p>
        </w:tc>
        <w:tc>
          <w:tcPr>
            <w:tcW w:w="1420" w:type="dxa"/>
            <w:vAlign w:val="center"/>
          </w:tcPr>
          <w:p w:rsidR="00EC0003" w:rsidRDefault="00EC0003" w:rsidP="006A716D">
            <w:pPr>
              <w:jc w:val="center"/>
              <w:rPr>
                <w:rFonts w:ascii="宋体" w:hAnsi="宋体"/>
              </w:rPr>
            </w:pPr>
            <w:r>
              <w:rPr>
                <w:rFonts w:ascii="宋体" w:hAnsi="宋体" w:hint="eastAsia"/>
              </w:rPr>
              <w:t>2012年</w:t>
            </w:r>
          </w:p>
        </w:tc>
        <w:tc>
          <w:tcPr>
            <w:tcW w:w="1421" w:type="dxa"/>
            <w:vAlign w:val="center"/>
          </w:tcPr>
          <w:p w:rsidR="00EC0003" w:rsidRDefault="00EC0003" w:rsidP="006A716D">
            <w:pPr>
              <w:jc w:val="center"/>
              <w:rPr>
                <w:rFonts w:ascii="宋体" w:hAnsi="宋体"/>
              </w:rPr>
            </w:pPr>
            <w:r>
              <w:rPr>
                <w:rFonts w:ascii="宋体" w:hAnsi="宋体" w:hint="eastAsia"/>
              </w:rPr>
              <w:t>2013年*</w:t>
            </w:r>
          </w:p>
        </w:tc>
        <w:tc>
          <w:tcPr>
            <w:tcW w:w="1421" w:type="dxa"/>
            <w:vAlign w:val="center"/>
          </w:tcPr>
          <w:p w:rsidR="00EC0003" w:rsidRDefault="00EC0003" w:rsidP="006A716D">
            <w:pPr>
              <w:jc w:val="center"/>
              <w:rPr>
                <w:rFonts w:ascii="宋体" w:hAnsi="宋体"/>
              </w:rPr>
            </w:pPr>
            <w:r>
              <w:rPr>
                <w:rFonts w:ascii="宋体" w:hAnsi="宋体" w:hint="eastAsia"/>
              </w:rPr>
              <w:t>AVS投运后</w:t>
            </w:r>
          </w:p>
        </w:tc>
      </w:tr>
      <w:tr w:rsidR="00EC0003" w:rsidTr="006A716D">
        <w:tc>
          <w:tcPr>
            <w:tcW w:w="3402" w:type="dxa"/>
          </w:tcPr>
          <w:p w:rsidR="00EC0003" w:rsidRDefault="00EC0003" w:rsidP="006A716D">
            <w:pPr>
              <w:jc w:val="center"/>
              <w:rPr>
                <w:rFonts w:ascii="宋体" w:hAnsi="宋体"/>
              </w:rPr>
            </w:pPr>
            <w:r>
              <w:rPr>
                <w:rFonts w:ascii="宋体" w:hAnsi="宋体" w:hint="eastAsia"/>
              </w:rPr>
              <w:t>鼓风机电耗（kWh）</w:t>
            </w:r>
          </w:p>
        </w:tc>
        <w:tc>
          <w:tcPr>
            <w:tcW w:w="1317" w:type="dxa"/>
          </w:tcPr>
          <w:p w:rsidR="00EC0003" w:rsidRDefault="00EC0003" w:rsidP="006A716D">
            <w:pPr>
              <w:pStyle w:val="a4"/>
              <w:spacing w:before="0" w:beforeAutospacing="0" w:after="0" w:afterAutospacing="0"/>
              <w:jc w:val="center"/>
              <w:rPr>
                <w:rFonts w:cs="Times New Roman"/>
                <w:kern w:val="2"/>
                <w:sz w:val="21"/>
                <w:szCs w:val="22"/>
              </w:rPr>
            </w:pPr>
            <w:r>
              <w:rPr>
                <w:rFonts w:cs="Times New Roman" w:hint="eastAsia"/>
                <w:kern w:val="2"/>
                <w:sz w:val="21"/>
                <w:szCs w:val="22"/>
              </w:rPr>
              <w:t xml:space="preserve">4766 </w:t>
            </w:r>
          </w:p>
        </w:tc>
        <w:tc>
          <w:tcPr>
            <w:tcW w:w="1420" w:type="dxa"/>
          </w:tcPr>
          <w:p w:rsidR="00EC0003" w:rsidRDefault="00EC0003" w:rsidP="006A716D">
            <w:pPr>
              <w:pStyle w:val="a4"/>
              <w:spacing w:before="0" w:beforeAutospacing="0" w:after="0" w:afterAutospacing="0"/>
              <w:jc w:val="center"/>
              <w:rPr>
                <w:rFonts w:cs="Times New Roman"/>
                <w:kern w:val="2"/>
                <w:sz w:val="21"/>
                <w:szCs w:val="22"/>
              </w:rPr>
            </w:pPr>
            <w:r>
              <w:rPr>
                <w:rFonts w:cs="Times New Roman" w:hint="eastAsia"/>
                <w:kern w:val="2"/>
                <w:sz w:val="21"/>
                <w:szCs w:val="22"/>
              </w:rPr>
              <w:t xml:space="preserve">5036 </w:t>
            </w:r>
          </w:p>
        </w:tc>
        <w:tc>
          <w:tcPr>
            <w:tcW w:w="1421" w:type="dxa"/>
          </w:tcPr>
          <w:p w:rsidR="00EC0003" w:rsidRDefault="00EC0003" w:rsidP="006A716D">
            <w:pPr>
              <w:pStyle w:val="a4"/>
              <w:spacing w:before="0" w:beforeAutospacing="0" w:after="0" w:afterAutospacing="0"/>
              <w:jc w:val="center"/>
              <w:rPr>
                <w:rFonts w:cs="Times New Roman"/>
                <w:kern w:val="2"/>
                <w:sz w:val="21"/>
                <w:szCs w:val="22"/>
              </w:rPr>
            </w:pPr>
            <w:r>
              <w:rPr>
                <w:rFonts w:cs="Times New Roman" w:hint="eastAsia"/>
                <w:kern w:val="2"/>
                <w:sz w:val="21"/>
                <w:szCs w:val="22"/>
              </w:rPr>
              <w:t xml:space="preserve">3920 </w:t>
            </w:r>
          </w:p>
        </w:tc>
        <w:tc>
          <w:tcPr>
            <w:tcW w:w="1421" w:type="dxa"/>
            <w:vAlign w:val="center"/>
          </w:tcPr>
          <w:p w:rsidR="00EC0003" w:rsidRDefault="00EC0003" w:rsidP="006A716D">
            <w:pPr>
              <w:pStyle w:val="a4"/>
              <w:spacing w:before="0" w:beforeAutospacing="0" w:after="0" w:afterAutospacing="0"/>
              <w:jc w:val="center"/>
              <w:rPr>
                <w:rFonts w:cs="Times New Roman"/>
                <w:kern w:val="2"/>
                <w:sz w:val="21"/>
                <w:szCs w:val="22"/>
              </w:rPr>
            </w:pPr>
            <w:r>
              <w:rPr>
                <w:rFonts w:cs="Times New Roman"/>
                <w:kern w:val="2"/>
                <w:sz w:val="21"/>
                <w:szCs w:val="22"/>
              </w:rPr>
              <w:t xml:space="preserve">3781 </w:t>
            </w:r>
          </w:p>
        </w:tc>
      </w:tr>
      <w:tr w:rsidR="00EC0003" w:rsidTr="006A716D">
        <w:tc>
          <w:tcPr>
            <w:tcW w:w="3402" w:type="dxa"/>
          </w:tcPr>
          <w:p w:rsidR="00EC0003" w:rsidRDefault="00EC0003" w:rsidP="006A716D">
            <w:pPr>
              <w:jc w:val="center"/>
              <w:rPr>
                <w:rFonts w:ascii="宋体" w:hAnsi="宋体"/>
              </w:rPr>
            </w:pPr>
            <w:r>
              <w:rPr>
                <w:rFonts w:ascii="宋体" w:hAnsi="宋体" w:hint="eastAsia"/>
              </w:rPr>
              <w:t>处理水量（m</w:t>
            </w:r>
            <w:r>
              <w:rPr>
                <w:rFonts w:ascii="宋体" w:hAnsi="宋体" w:hint="eastAsia"/>
                <w:vertAlign w:val="superscript"/>
              </w:rPr>
              <w:t>3</w:t>
            </w:r>
            <w:r>
              <w:rPr>
                <w:rFonts w:ascii="宋体" w:hAnsi="宋体" w:hint="eastAsia"/>
              </w:rPr>
              <w:t>）</w:t>
            </w:r>
          </w:p>
        </w:tc>
        <w:tc>
          <w:tcPr>
            <w:tcW w:w="1317" w:type="dxa"/>
          </w:tcPr>
          <w:p w:rsidR="00EC0003" w:rsidRDefault="00EC0003" w:rsidP="006A716D">
            <w:pPr>
              <w:pStyle w:val="a4"/>
              <w:spacing w:before="0" w:beforeAutospacing="0" w:after="0" w:afterAutospacing="0"/>
              <w:jc w:val="center"/>
              <w:rPr>
                <w:rFonts w:cs="Times New Roman"/>
                <w:kern w:val="2"/>
                <w:sz w:val="21"/>
                <w:szCs w:val="22"/>
              </w:rPr>
            </w:pPr>
            <w:r>
              <w:rPr>
                <w:rFonts w:cs="Times New Roman" w:hint="eastAsia"/>
                <w:kern w:val="2"/>
                <w:sz w:val="21"/>
                <w:szCs w:val="22"/>
              </w:rPr>
              <w:t xml:space="preserve">39735 </w:t>
            </w:r>
          </w:p>
        </w:tc>
        <w:tc>
          <w:tcPr>
            <w:tcW w:w="1420" w:type="dxa"/>
            <w:vAlign w:val="center"/>
          </w:tcPr>
          <w:p w:rsidR="00EC0003" w:rsidRDefault="00EC0003" w:rsidP="006A716D">
            <w:pPr>
              <w:pStyle w:val="a4"/>
              <w:spacing w:before="0" w:beforeAutospacing="0" w:after="0" w:afterAutospacing="0"/>
              <w:jc w:val="center"/>
              <w:rPr>
                <w:rFonts w:cs="Times New Roman"/>
                <w:kern w:val="2"/>
                <w:sz w:val="21"/>
                <w:szCs w:val="22"/>
              </w:rPr>
            </w:pPr>
            <w:r>
              <w:rPr>
                <w:rFonts w:cs="Times New Roman" w:hint="eastAsia"/>
                <w:kern w:val="2"/>
                <w:sz w:val="21"/>
                <w:szCs w:val="22"/>
              </w:rPr>
              <w:t>42150</w:t>
            </w:r>
          </w:p>
        </w:tc>
        <w:tc>
          <w:tcPr>
            <w:tcW w:w="1421" w:type="dxa"/>
            <w:vAlign w:val="center"/>
          </w:tcPr>
          <w:p w:rsidR="00EC0003" w:rsidRDefault="00EC0003" w:rsidP="006A716D">
            <w:pPr>
              <w:pStyle w:val="a4"/>
              <w:spacing w:before="0" w:beforeAutospacing="0" w:after="0" w:afterAutospacing="0"/>
              <w:jc w:val="center"/>
              <w:rPr>
                <w:rFonts w:cs="Times New Roman"/>
                <w:kern w:val="2"/>
                <w:sz w:val="21"/>
                <w:szCs w:val="22"/>
              </w:rPr>
            </w:pPr>
            <w:r>
              <w:rPr>
                <w:rFonts w:cs="Times New Roman" w:hint="eastAsia"/>
                <w:kern w:val="2"/>
                <w:sz w:val="21"/>
                <w:szCs w:val="22"/>
              </w:rPr>
              <w:t>32160</w:t>
            </w:r>
          </w:p>
        </w:tc>
        <w:tc>
          <w:tcPr>
            <w:tcW w:w="1421" w:type="dxa"/>
            <w:vAlign w:val="center"/>
          </w:tcPr>
          <w:p w:rsidR="00EC0003" w:rsidRDefault="00EC0003" w:rsidP="006A716D">
            <w:pPr>
              <w:pStyle w:val="a4"/>
              <w:spacing w:before="0" w:beforeAutospacing="0" w:after="0" w:afterAutospacing="0"/>
              <w:jc w:val="center"/>
              <w:rPr>
                <w:rFonts w:cs="Times New Roman"/>
                <w:kern w:val="2"/>
                <w:sz w:val="21"/>
                <w:szCs w:val="22"/>
              </w:rPr>
            </w:pPr>
            <w:r>
              <w:rPr>
                <w:rFonts w:cs="Times New Roman"/>
                <w:kern w:val="2"/>
                <w:sz w:val="21"/>
                <w:szCs w:val="22"/>
              </w:rPr>
              <w:t>3</w:t>
            </w:r>
            <w:r>
              <w:rPr>
                <w:rFonts w:cs="Times New Roman" w:hint="eastAsia"/>
                <w:kern w:val="2"/>
                <w:sz w:val="21"/>
                <w:szCs w:val="22"/>
              </w:rPr>
              <w:t>54</w:t>
            </w:r>
            <w:r>
              <w:rPr>
                <w:rFonts w:cs="Times New Roman"/>
                <w:kern w:val="2"/>
                <w:sz w:val="21"/>
                <w:szCs w:val="22"/>
              </w:rPr>
              <w:t xml:space="preserve">21 </w:t>
            </w:r>
          </w:p>
        </w:tc>
      </w:tr>
      <w:tr w:rsidR="00EC0003" w:rsidTr="006A716D">
        <w:tc>
          <w:tcPr>
            <w:tcW w:w="3402" w:type="dxa"/>
            <w:vAlign w:val="center"/>
          </w:tcPr>
          <w:p w:rsidR="00EC0003" w:rsidRDefault="00EC0003" w:rsidP="006A716D">
            <w:pPr>
              <w:jc w:val="center"/>
              <w:rPr>
                <w:rFonts w:ascii="宋体" w:hAnsi="宋体"/>
              </w:rPr>
            </w:pPr>
            <w:r>
              <w:rPr>
                <w:rFonts w:ascii="宋体" w:hAnsi="宋体" w:hint="eastAsia"/>
              </w:rPr>
              <w:t>处理单方水鼓风机电耗（kWh/m</w:t>
            </w:r>
            <w:r>
              <w:rPr>
                <w:rFonts w:ascii="宋体" w:hAnsi="宋体" w:hint="eastAsia"/>
                <w:vertAlign w:val="superscript"/>
              </w:rPr>
              <w:t>3</w:t>
            </w:r>
            <w:r>
              <w:rPr>
                <w:rFonts w:ascii="宋体" w:hAnsi="宋体" w:hint="eastAsia"/>
              </w:rPr>
              <w:t>）</w:t>
            </w:r>
          </w:p>
        </w:tc>
        <w:tc>
          <w:tcPr>
            <w:tcW w:w="1317" w:type="dxa"/>
            <w:vAlign w:val="center"/>
          </w:tcPr>
          <w:p w:rsidR="00EC0003" w:rsidRDefault="00EC0003" w:rsidP="006A716D">
            <w:pPr>
              <w:pStyle w:val="a4"/>
              <w:spacing w:before="0" w:beforeAutospacing="0" w:after="0" w:afterAutospacing="0"/>
              <w:jc w:val="center"/>
              <w:rPr>
                <w:rFonts w:cs="Times New Roman"/>
                <w:kern w:val="2"/>
                <w:sz w:val="21"/>
                <w:szCs w:val="22"/>
              </w:rPr>
            </w:pPr>
            <w:r>
              <w:rPr>
                <w:rFonts w:cs="Times New Roman" w:hint="eastAsia"/>
                <w:kern w:val="2"/>
                <w:sz w:val="21"/>
                <w:szCs w:val="22"/>
              </w:rPr>
              <w:t>0.1199</w:t>
            </w:r>
          </w:p>
        </w:tc>
        <w:tc>
          <w:tcPr>
            <w:tcW w:w="1420" w:type="dxa"/>
            <w:vAlign w:val="center"/>
          </w:tcPr>
          <w:p w:rsidR="00EC0003" w:rsidRDefault="00EC0003" w:rsidP="006A716D">
            <w:pPr>
              <w:pStyle w:val="a4"/>
              <w:spacing w:before="0" w:beforeAutospacing="0" w:after="0" w:afterAutospacing="0"/>
              <w:jc w:val="center"/>
              <w:rPr>
                <w:rFonts w:cs="Times New Roman"/>
                <w:kern w:val="2"/>
                <w:sz w:val="21"/>
                <w:szCs w:val="22"/>
              </w:rPr>
            </w:pPr>
            <w:r>
              <w:rPr>
                <w:rFonts w:cs="Times New Roman" w:hint="eastAsia"/>
                <w:kern w:val="2"/>
                <w:sz w:val="21"/>
                <w:szCs w:val="22"/>
              </w:rPr>
              <w:t>0.1195</w:t>
            </w:r>
          </w:p>
        </w:tc>
        <w:tc>
          <w:tcPr>
            <w:tcW w:w="1421" w:type="dxa"/>
            <w:vAlign w:val="center"/>
          </w:tcPr>
          <w:p w:rsidR="00EC0003" w:rsidRDefault="00EC0003" w:rsidP="006A716D">
            <w:pPr>
              <w:pStyle w:val="a4"/>
              <w:spacing w:before="0" w:beforeAutospacing="0" w:after="0" w:afterAutospacing="0"/>
              <w:jc w:val="center"/>
              <w:rPr>
                <w:rFonts w:cs="Times New Roman"/>
                <w:kern w:val="2"/>
                <w:sz w:val="21"/>
                <w:szCs w:val="22"/>
              </w:rPr>
            </w:pPr>
            <w:r>
              <w:rPr>
                <w:rFonts w:cs="Times New Roman" w:hint="eastAsia"/>
                <w:kern w:val="2"/>
                <w:sz w:val="21"/>
                <w:szCs w:val="22"/>
              </w:rPr>
              <w:t>0.1219</w:t>
            </w:r>
          </w:p>
        </w:tc>
        <w:tc>
          <w:tcPr>
            <w:tcW w:w="1421" w:type="dxa"/>
            <w:vAlign w:val="center"/>
          </w:tcPr>
          <w:p w:rsidR="00EC0003" w:rsidRDefault="00EC0003" w:rsidP="006A716D">
            <w:pPr>
              <w:pStyle w:val="a4"/>
              <w:spacing w:before="0" w:beforeAutospacing="0" w:after="0" w:afterAutospacing="0"/>
              <w:jc w:val="center"/>
              <w:rPr>
                <w:rFonts w:cs="Times New Roman"/>
                <w:kern w:val="2"/>
                <w:sz w:val="21"/>
                <w:szCs w:val="22"/>
              </w:rPr>
            </w:pPr>
            <w:r>
              <w:rPr>
                <w:rFonts w:cs="Times New Roman" w:hint="eastAsia"/>
                <w:kern w:val="2"/>
                <w:sz w:val="21"/>
                <w:szCs w:val="22"/>
              </w:rPr>
              <w:t>0.1067</w:t>
            </w:r>
          </w:p>
        </w:tc>
      </w:tr>
    </w:tbl>
    <w:p w:rsidR="00EC0003" w:rsidRDefault="00EC0003" w:rsidP="00EC0003">
      <w:pPr>
        <w:spacing w:line="360" w:lineRule="auto"/>
        <w:ind w:firstLineChars="200" w:firstLine="420"/>
        <w:jc w:val="left"/>
        <w:rPr>
          <w:rFonts w:ascii="宋体" w:hAnsi="宋体"/>
        </w:rPr>
      </w:pPr>
      <w:r>
        <w:rPr>
          <w:rFonts w:ascii="宋体" w:hAnsi="宋体" w:hint="eastAsia"/>
        </w:rPr>
        <w:t>注：表3是将一期实施AVS后（2013.10~2014.2）的能耗结果分析和一期的历史数据进行对比。其中一期2013年的结果只统计到9月，即一期实施AVS之前。</w:t>
      </w:r>
    </w:p>
    <w:p w:rsidR="00EC0003" w:rsidRDefault="00EC0003" w:rsidP="00EC0003">
      <w:pPr>
        <w:spacing w:line="360" w:lineRule="auto"/>
        <w:ind w:firstLineChars="200" w:firstLine="480"/>
        <w:jc w:val="left"/>
        <w:rPr>
          <w:rFonts w:ascii="宋体" w:hAnsi="宋体"/>
          <w:sz w:val="24"/>
          <w:szCs w:val="24"/>
        </w:rPr>
      </w:pPr>
      <w:r>
        <w:rPr>
          <w:rFonts w:ascii="宋体" w:hAnsi="宋体" w:hint="eastAsia"/>
          <w:sz w:val="24"/>
          <w:szCs w:val="24"/>
        </w:rPr>
        <w:t>综上，在二期和一期先后实施AVS以后，处理单方水的鼓风机电耗较2011年开始的历史数据，都有所下降，取得了一定的节能降耗效果。其中，二期在实施AVS期间的单方水电耗，相较2011年、2012年和2013年（截止7月）的一期单方水电耗，分别下降了9.38%、9.02%和10.82%；一期在实施AVS期间的单方水电耗，相较2011年、2012年 和2013年（截止9月）的一期单方水电耗，分别下降了11%、10.71%和12.47%。</w:t>
      </w:r>
    </w:p>
    <w:p w:rsidR="00EC0003" w:rsidRDefault="00EC0003" w:rsidP="00EC0003">
      <w:pPr>
        <w:spacing w:line="360" w:lineRule="auto"/>
        <w:ind w:firstLineChars="200" w:firstLine="480"/>
        <w:jc w:val="left"/>
        <w:rPr>
          <w:rFonts w:ascii="宋体" w:hAnsi="宋体"/>
          <w:sz w:val="24"/>
          <w:szCs w:val="24"/>
        </w:rPr>
      </w:pPr>
    </w:p>
    <w:p w:rsidR="00EC0003" w:rsidRDefault="00EC0003" w:rsidP="00EC0003">
      <w:pPr>
        <w:spacing w:line="360" w:lineRule="auto"/>
        <w:jc w:val="center"/>
        <w:outlineLvl w:val="0"/>
        <w:rPr>
          <w:rFonts w:ascii="宋体" w:hAnsi="宋体"/>
          <w:b/>
          <w:sz w:val="28"/>
          <w:szCs w:val="28"/>
        </w:rPr>
      </w:pPr>
      <w:r>
        <w:rPr>
          <w:rFonts w:ascii="宋体" w:hAnsi="宋体" w:hint="eastAsia"/>
          <w:b/>
          <w:sz w:val="28"/>
          <w:szCs w:val="28"/>
        </w:rPr>
        <w:t>4、精确曝气在CASS工艺中应用的难点</w:t>
      </w:r>
    </w:p>
    <w:p w:rsidR="00EC0003" w:rsidRDefault="00EC0003" w:rsidP="00EC0003">
      <w:pPr>
        <w:spacing w:line="360" w:lineRule="auto"/>
        <w:ind w:firstLineChars="150" w:firstLine="360"/>
        <w:rPr>
          <w:rFonts w:ascii="宋体" w:hAnsi="宋体"/>
          <w:sz w:val="24"/>
          <w:szCs w:val="24"/>
        </w:rPr>
      </w:pPr>
      <w:r>
        <w:rPr>
          <w:rFonts w:ascii="宋体" w:hAnsi="宋体" w:hint="eastAsia"/>
          <w:sz w:val="24"/>
          <w:szCs w:val="24"/>
        </w:rPr>
        <w:t>有别于A2O、氧化沟等工艺，由于CASS工艺的特殊性，AVS系统的应用会有一些技术难点，也会和A2O工艺中应用的AVS系统有所差别。</w:t>
      </w:r>
    </w:p>
    <w:p w:rsidR="00EC0003" w:rsidRDefault="00EC0003" w:rsidP="00EC0003">
      <w:pPr>
        <w:spacing w:line="360" w:lineRule="auto"/>
        <w:rPr>
          <w:rFonts w:ascii="宋体" w:hAnsi="宋体"/>
          <w:sz w:val="24"/>
          <w:szCs w:val="24"/>
        </w:rPr>
      </w:pPr>
      <w:r>
        <w:rPr>
          <w:rFonts w:ascii="宋体" w:hAnsi="宋体" w:hint="eastAsia"/>
          <w:sz w:val="24"/>
          <w:szCs w:val="24"/>
        </w:rPr>
        <w:t xml:space="preserve">   CASS工艺的特征之一是按照设定的反应时序进行进水、曝气、沉淀、排水等操作，因此对反应池的供气不是连续进行的（一般在每个反应池的进水和曝气阶段供气，而在沉淀和排水阶段停止供气，呈现非常明显的周期性），这是它和连续向反应池供气的A2O、氧化沟等工艺存在的最大差别。对于AVS系统来说，这就对鼓风机-阀门的联合控制系统提出了更高的控制要求。在工艺运行中的任何时刻，至少有一组反应池在曝气，而其它反应池则处于停止供气状态，直到该反应池曝气阶段结束停止供气，转而向另一反应池供气。在这一切换过程中，由于气量需求的剧烈变化，可能会给鼓风-曝气系统带来冲击，导致鼓风机喘振等一系列问题。AVS系统通过工艺气量模型、鼓风机、阀门的联合控制算法解决了这</w:t>
      </w:r>
      <w:r>
        <w:rPr>
          <w:rFonts w:ascii="宋体" w:hAnsi="宋体" w:hint="eastAsia"/>
          <w:sz w:val="24"/>
          <w:szCs w:val="24"/>
        </w:rPr>
        <w:lastRenderedPageBreak/>
        <w:t>个隐患，即不影响工艺需气，又保护设备。首先，对鼓风机通过实时调节进行配气供给，避免由于工艺对气量需求带来的剧烈变化和冲击，使鼓风机系统的过渡更平滑；其次，通过阀门有效合理分配调节气量，响应鼓风机设备调节变化，增强系统稳定性和合理过渡。</w:t>
      </w:r>
    </w:p>
    <w:p w:rsidR="00EC0003" w:rsidRDefault="00EC0003" w:rsidP="00EC0003">
      <w:pPr>
        <w:spacing w:line="360" w:lineRule="auto"/>
        <w:ind w:firstLineChars="200" w:firstLine="480"/>
        <w:jc w:val="left"/>
        <w:rPr>
          <w:rFonts w:ascii="宋体" w:hAnsi="宋体"/>
          <w:sz w:val="24"/>
          <w:szCs w:val="24"/>
        </w:rPr>
      </w:pPr>
      <w:r>
        <w:rPr>
          <w:rFonts w:ascii="宋体" w:hAnsi="宋体" w:hint="eastAsia"/>
          <w:sz w:val="24"/>
          <w:szCs w:val="24"/>
        </w:rPr>
        <w:t>CASS工艺的另一个运行特征是反应池进水过程中水位的周期性变化，这也对鼓风-曝气系统的稳定性提出了挑战，也是传统的A2O等工艺所未曾面临的问题（其水位大致上维持稳定，不会在短时间内有大的波动）。鼓风机需克服进水曝气阶段水位升高带来的曝气管管压的上升，对工艺运行和节能不利。AVS系统对于水位的变化带来曝气系统的不利影响，通过建立预期模型，即时调节管道压力及需气量，解决即满足工艺供气需求，又自适应水位、</w:t>
      </w:r>
      <w:proofErr w:type="gramStart"/>
      <w:r>
        <w:rPr>
          <w:rFonts w:ascii="宋体" w:hAnsi="宋体" w:hint="eastAsia"/>
          <w:sz w:val="24"/>
          <w:szCs w:val="24"/>
        </w:rPr>
        <w:t>管压变化</w:t>
      </w:r>
      <w:proofErr w:type="gramEnd"/>
      <w:r>
        <w:rPr>
          <w:rFonts w:ascii="宋体" w:hAnsi="宋体" w:hint="eastAsia"/>
          <w:sz w:val="24"/>
          <w:szCs w:val="24"/>
        </w:rPr>
        <w:t>和工艺生产滞后带来的曝气量变化。</w:t>
      </w:r>
    </w:p>
    <w:p w:rsidR="00EC0003" w:rsidRDefault="00EC0003" w:rsidP="00EC0003">
      <w:pPr>
        <w:spacing w:line="360" w:lineRule="auto"/>
        <w:jc w:val="center"/>
        <w:outlineLvl w:val="0"/>
        <w:rPr>
          <w:rFonts w:ascii="宋体" w:hAnsi="宋体"/>
        </w:rPr>
      </w:pPr>
      <w:r>
        <w:rPr>
          <w:rFonts w:ascii="宋体" w:hAnsi="宋体" w:hint="eastAsia"/>
          <w:b/>
          <w:sz w:val="28"/>
          <w:szCs w:val="28"/>
        </w:rPr>
        <w:t>5、结论和展望</w:t>
      </w:r>
    </w:p>
    <w:p w:rsidR="00EC0003" w:rsidRDefault="00EC0003" w:rsidP="00EC0003">
      <w:pPr>
        <w:spacing w:line="360" w:lineRule="auto"/>
        <w:jc w:val="left"/>
        <w:rPr>
          <w:rFonts w:ascii="宋体" w:hAnsi="宋体"/>
          <w:sz w:val="24"/>
          <w:szCs w:val="24"/>
        </w:rPr>
      </w:pPr>
      <w:r>
        <w:rPr>
          <w:rFonts w:ascii="宋体" w:hAnsi="宋体"/>
          <w:sz w:val="24"/>
          <w:szCs w:val="24"/>
        </w:rPr>
        <w:t xml:space="preserve">1） </w:t>
      </w:r>
      <w:r>
        <w:rPr>
          <w:rFonts w:ascii="宋体" w:hAnsi="宋体" w:hint="eastAsia"/>
          <w:sz w:val="24"/>
          <w:szCs w:val="24"/>
        </w:rPr>
        <w:t>基于活性污泥数学模型和鼓风机</w:t>
      </w:r>
      <w:r>
        <w:rPr>
          <w:rFonts w:ascii="宋体" w:hAnsi="宋体"/>
          <w:sz w:val="24"/>
          <w:szCs w:val="24"/>
        </w:rPr>
        <w:t>-阀门联合控制的精确曝气控制系统，实现了鼓风机、曝气管道和阀门调节之间的闭环控制，有助于对CASS工艺曝气阶段溶解氧的精细化控制。</w:t>
      </w:r>
    </w:p>
    <w:p w:rsidR="00EC0003" w:rsidRDefault="00EC0003" w:rsidP="00EC0003">
      <w:pPr>
        <w:spacing w:line="360" w:lineRule="auto"/>
        <w:jc w:val="left"/>
        <w:rPr>
          <w:rFonts w:ascii="宋体" w:hAnsi="宋体"/>
          <w:sz w:val="24"/>
          <w:szCs w:val="24"/>
        </w:rPr>
      </w:pPr>
      <w:r>
        <w:rPr>
          <w:rFonts w:ascii="宋体" w:hAnsi="宋体"/>
          <w:sz w:val="24"/>
          <w:szCs w:val="24"/>
        </w:rPr>
        <w:t>2）精确曝气的实施，有助于改善出水水质</w:t>
      </w:r>
      <w:r>
        <w:rPr>
          <w:rFonts w:ascii="宋体" w:hAnsi="宋体" w:hint="eastAsia"/>
          <w:sz w:val="24"/>
          <w:szCs w:val="24"/>
        </w:rPr>
        <w:t>和污染物的去除率；特别是由于避免了过量曝气，给予了更多的了反硝化空间，使得总氮去除效果的改善明显，对出水总磷的去除率也有显著的提升。</w:t>
      </w:r>
    </w:p>
    <w:p w:rsidR="00EC0003" w:rsidRDefault="00EC0003" w:rsidP="00EC0003">
      <w:pPr>
        <w:spacing w:line="360" w:lineRule="auto"/>
        <w:jc w:val="left"/>
        <w:rPr>
          <w:rFonts w:ascii="宋体" w:hAnsi="宋体"/>
          <w:sz w:val="24"/>
          <w:szCs w:val="24"/>
        </w:rPr>
      </w:pPr>
      <w:r>
        <w:rPr>
          <w:rFonts w:ascii="宋体" w:hAnsi="宋体"/>
          <w:sz w:val="24"/>
          <w:szCs w:val="24"/>
        </w:rPr>
        <w:t xml:space="preserve">3） </w:t>
      </w:r>
      <w:r>
        <w:rPr>
          <w:rFonts w:ascii="宋体" w:hAnsi="宋体" w:hint="eastAsia"/>
          <w:sz w:val="24"/>
          <w:szCs w:val="24"/>
        </w:rPr>
        <w:t>精确曝气的实施，从源头上实现了根据曝气池的实际需要按需供、配气，在出水达标的前提下有效降低了鼓风机的能耗。相较传统曝气模式，处理单方水的电耗普遍下降了</w:t>
      </w:r>
      <w:r w:rsidRPr="00FE43DF">
        <w:rPr>
          <w:rFonts w:ascii="宋体" w:hAnsi="宋体"/>
          <w:sz w:val="24"/>
          <w:szCs w:val="24"/>
        </w:rPr>
        <w:t>10%</w:t>
      </w:r>
      <w:r>
        <w:rPr>
          <w:rFonts w:ascii="宋体" w:hAnsi="宋体" w:hint="eastAsia"/>
          <w:sz w:val="24"/>
          <w:szCs w:val="24"/>
        </w:rPr>
        <w:t>左右。</w:t>
      </w:r>
    </w:p>
    <w:p w:rsidR="00EC0003" w:rsidRDefault="00EC0003" w:rsidP="00EC0003">
      <w:pPr>
        <w:spacing w:line="360" w:lineRule="auto"/>
        <w:jc w:val="left"/>
        <w:rPr>
          <w:rFonts w:ascii="宋体" w:hAnsi="宋体"/>
        </w:rPr>
      </w:pPr>
    </w:p>
    <w:p w:rsidR="004E61AF" w:rsidRDefault="004E61AF"/>
    <w:sectPr w:rsidR="004E61AF" w:rsidSect="00716721">
      <w:footerReference w:type="default" r:id="rId1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721" w:rsidRDefault="00F069F8">
    <w:pPr>
      <w:pStyle w:val="a3"/>
      <w:jc w:val="center"/>
    </w:pPr>
    <w:r>
      <w:fldChar w:fldCharType="begin"/>
    </w:r>
    <w:r>
      <w:instrText xml:space="preserve"> PAGE   \* MERGEFORMAT </w:instrText>
    </w:r>
    <w:r>
      <w:fldChar w:fldCharType="separate"/>
    </w:r>
    <w:r w:rsidR="00EC0003" w:rsidRPr="00EC0003">
      <w:rPr>
        <w:noProof/>
        <w:lang w:val="zh-CN"/>
      </w:rPr>
      <w:t>2</w:t>
    </w:r>
    <w:r>
      <w:fldChar w:fldCharType="end"/>
    </w:r>
  </w:p>
  <w:p w:rsidR="00716721" w:rsidRDefault="00F069F8">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C0003"/>
    <w:rsid w:val="004E61AF"/>
    <w:rsid w:val="00EC0003"/>
    <w:rsid w:val="00F069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00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C0003"/>
    <w:pPr>
      <w:tabs>
        <w:tab w:val="center" w:pos="4153"/>
        <w:tab w:val="right" w:pos="8306"/>
      </w:tabs>
      <w:snapToGrid w:val="0"/>
      <w:jc w:val="left"/>
    </w:pPr>
    <w:rPr>
      <w:sz w:val="18"/>
      <w:szCs w:val="18"/>
    </w:rPr>
  </w:style>
  <w:style w:type="character" w:customStyle="1" w:styleId="Char">
    <w:name w:val="页脚 Char"/>
    <w:basedOn w:val="a0"/>
    <w:link w:val="a3"/>
    <w:uiPriority w:val="99"/>
    <w:rsid w:val="00EC0003"/>
    <w:rPr>
      <w:rFonts w:ascii="Calibri" w:eastAsia="宋体" w:hAnsi="Calibri" w:cs="Times New Roman"/>
      <w:sz w:val="18"/>
      <w:szCs w:val="18"/>
    </w:rPr>
  </w:style>
  <w:style w:type="paragraph" w:styleId="a4">
    <w:name w:val="Normal (Web)"/>
    <w:basedOn w:val="a"/>
    <w:uiPriority w:val="99"/>
    <w:unhideWhenUsed/>
    <w:rsid w:val="00EC0003"/>
    <w:pPr>
      <w:widowControl/>
      <w:spacing w:before="100" w:beforeAutospacing="1" w:after="100" w:afterAutospacing="1"/>
      <w:jc w:val="left"/>
    </w:pPr>
    <w:rPr>
      <w:rFonts w:ascii="宋体" w:hAnsi="宋体" w:cs="宋体"/>
      <w:kern w:val="0"/>
      <w:sz w:val="24"/>
      <w:szCs w:val="24"/>
    </w:rPr>
  </w:style>
  <w:style w:type="paragraph" w:styleId="a5">
    <w:name w:val="Balloon Text"/>
    <w:basedOn w:val="a"/>
    <w:link w:val="Char0"/>
    <w:uiPriority w:val="99"/>
    <w:semiHidden/>
    <w:unhideWhenUsed/>
    <w:rsid w:val="00EC0003"/>
    <w:rPr>
      <w:sz w:val="18"/>
      <w:szCs w:val="18"/>
    </w:rPr>
  </w:style>
  <w:style w:type="character" w:customStyle="1" w:styleId="Char0">
    <w:name w:val="批注框文本 Char"/>
    <w:basedOn w:val="a0"/>
    <w:link w:val="a5"/>
    <w:uiPriority w:val="99"/>
    <w:semiHidden/>
    <w:rsid w:val="00EC0003"/>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image" Target="media/image1.emf"/><Relationship Id="rId9"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911</Words>
  <Characters>5199</Characters>
  <Application>Microsoft Office Word</Application>
  <DocSecurity>0</DocSecurity>
  <Lines>43</Lines>
  <Paragraphs>12</Paragraphs>
  <ScaleCrop>false</ScaleCrop>
  <Company/>
  <LinksUpToDate>false</LinksUpToDate>
  <CharactersWithSpaces>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w130520</dc:creator>
  <cp:lastModifiedBy>w130520</cp:lastModifiedBy>
  <cp:revision>1</cp:revision>
  <dcterms:created xsi:type="dcterms:W3CDTF">2014-11-10T08:58:00Z</dcterms:created>
  <dcterms:modified xsi:type="dcterms:W3CDTF">2014-11-10T08:59:00Z</dcterms:modified>
</cp:coreProperties>
</file>