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80" w:lineRule="auto"/>
        <w:ind w:left="600" w:right="0"/>
        <w:jc w:val="center"/>
        <w:rPr>
          <w:sz w:val="36"/>
          <w:szCs w:val="36"/>
        </w:rPr>
      </w:pPr>
      <w:r>
        <w:rPr>
          <w:color w:val="000000"/>
          <w:sz w:val="36"/>
          <w:szCs w:val="36"/>
          <w:bdr w:val="none" w:color="auto" w:sz="0" w:space="0"/>
          <w:shd w:val="clear" w:fill="FFFFFF"/>
        </w:rPr>
        <w:t>关于贯彻落实《河北省城市排水防涝能力提升行动方案（2018-2020年）》的通知</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ascii="微软雅黑" w:hAnsi="微软雅黑" w:eastAsia="微软雅黑" w:cs="微软雅黑"/>
          <w:color w:val="000000"/>
          <w:sz w:val="27"/>
          <w:szCs w:val="27"/>
          <w:shd w:val="clear" w:fill="FFFFFF"/>
        </w:rPr>
        <w:t>各市（含定州、辛集市）住房城乡建设局（建设局）、城市管理局（城管委）：</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w:t>
      </w:r>
      <w:r>
        <w:rPr>
          <w:rFonts w:hint="eastAsia" w:ascii="微软雅黑" w:hAnsi="微软雅黑" w:eastAsia="微软雅黑" w:cs="微软雅黑"/>
          <w:color w:val="000000"/>
          <w:sz w:val="27"/>
          <w:szCs w:val="27"/>
          <w:shd w:val="clear" w:fill="FFFFFF"/>
        </w:rPr>
        <w:t>为贯彻落实省政府办公厅印发的《河北省城市排水防涝能力提升行动方案（</w:t>
      </w:r>
      <w:r>
        <w:rPr>
          <w:rFonts w:hint="eastAsia" w:ascii="微软雅黑" w:hAnsi="微软雅黑" w:eastAsia="微软雅黑" w:cs="微软雅黑"/>
          <w:color w:val="000000"/>
          <w:sz w:val="27"/>
          <w:szCs w:val="27"/>
          <w:bdr w:val="none" w:color="auto" w:sz="0" w:space="0"/>
          <w:shd w:val="clear" w:fill="FFFFFF"/>
          <w:lang w:val="en-US"/>
        </w:rPr>
        <w:t>2018-2020年）》（〔2018〕-77，以下简称《行动方案》），加快推进城市排水防涝设施建设，进一步提升城市内涝防御能力，现就有关事项通知如下：</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一、提高思想认识。城市排水防涝是一项重要的民生工程，事关人民生命财产安全，事关城市人居环境改善，省委、省政府领导高度关注，多次作出重要批示和指示。城市排水防涝也是住房城乡建设部近两年重点部署、强力推进的主要工作之一。各地要切实增强抓好城市排水防涝能力提升的责任感和使命感，把思想认识统一到省委、省政府的决策部署上来，充分认清落实好《行动方案》的政治意义、时代意义和现实意义，加大工作力度，采取有效措施，有力推进项目，确保《行动方案》各项工作目标落实落地。</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二、加强组织领导。各市确定的城市排水防涝工作牵头部门作为易涝点整治和排水管网改造工程项目的实施主体，要按照本级政府要求，加强与其他有关部门的协调联动，建立健全分工协作、齐抓共管、协同配合的长效工作机制，认真研究制定城市排水防涝能力提升行动任务清单、责任清单，报请当地政府建立城市防汛排涝组织指挥机构，保障城市排水防涝工作有力落实。省住房城乡建设厅会同有关部门负责设市城市排水防涝整治提升项目的监督管理，各市（含定州、辛集市）统一组织开展市本级及所辖县（市、区）排水防涝建设项目的监管考核，特别是对所辖县建设项目的实施，要精心组织、强力推进，切实负起组织领导责任。</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三、实施台账管理。各市要按照本级政府要求，参照《行动方案》，研究制定市级落实方案，建立健全项目台账。其中，易涝点整治任务台账以《行动方案》附件</w:t>
      </w:r>
      <w:r>
        <w:rPr>
          <w:rFonts w:hint="eastAsia" w:ascii="微软雅黑" w:hAnsi="微软雅黑" w:eastAsia="微软雅黑" w:cs="微软雅黑"/>
          <w:color w:val="000000"/>
          <w:sz w:val="27"/>
          <w:szCs w:val="27"/>
          <w:bdr w:val="none" w:color="auto" w:sz="0" w:space="0"/>
          <w:shd w:val="clear" w:fill="FFFFFF"/>
          <w:lang w:val="en-US"/>
        </w:rPr>
        <w:t>1确定的数量制定，设市城市易涝点整治台账以住房城乡建设部城市排水防涝补短板项目库系统内填报的项目清单为准，各设市城市要按照《行动方案》数量尽快完善项目库数据。县城易涝点整治台账由各市组织所辖县根据《行动方案》数量建立并负责实施。城市排水管网改造任务与《河北省城市市政老旧管网改造三年行动实施方案（2018-2020年）》（冀建城〔2018〕48号）确定的排水管网改造任务相结合，建立统一台账，协同推进实施。城市河道整治和海绵城市建设工作按照《行动方案》要求落实，按时完成工作任务。各市（含定州、辛集市）落实方案要按照《行动方案》要求，抓紧报省住房城乡建设厅备案。同时健全项目管理责任制，根据工作台账，倒排工期，挂图作战，确保项目及时建成发挥效益。建设项目如有变动要及时请示报备。</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四、强化考核通报。城市排水防涝能力提升行动实施“月报告、季通报、年考核”的考核通报机制。</w:t>
      </w:r>
      <w:r>
        <w:rPr>
          <w:rFonts w:hint="eastAsia" w:ascii="微软雅黑" w:hAnsi="微软雅黑" w:eastAsia="微软雅黑" w:cs="微软雅黑"/>
          <w:color w:val="000000"/>
          <w:sz w:val="27"/>
          <w:szCs w:val="27"/>
          <w:bdr w:val="none" w:color="auto" w:sz="0" w:space="0"/>
          <w:shd w:val="clear" w:fill="FFFFFF"/>
          <w:lang w:val="en-US"/>
        </w:rPr>
        <w:t xml:space="preserve">2018年11月份开始，各市（含定州、辛集市）要负责汇总所辖县（市、区）工作开展情况，每月25日前将工作进展情况（附件1）报省住房城乡建设厅。各设市城市要及时更新住房城乡建设部城市排水防涝补短板项目库系统易涝点整治完成信息。省厅将每月对各市项目进展情况进行统计汇总，根据工程任务完成比例和项目推进情况，每季度进行排名通报，结果抄送各市政府。各市要建立市级通报制度，对所辖县（市、区）工作进展情况定期通报。行动开展期每年底前，各市要根据全省城市排水防涝能力提升行动考核评分标准（附件2），对本市年度工作落实情况自查评分，每年12月20日前上报省厅；每年初，省厅将组织力量对上年度各地工作成效进行验收考核，验收考核结果上报省政府并通报各市政府。 </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xml:space="preserve">    </w:t>
      </w:r>
      <w:r>
        <w:rPr>
          <w:rFonts w:hint="eastAsia" w:ascii="微软雅黑" w:hAnsi="微软雅黑" w:eastAsia="微软雅黑" w:cs="微软雅黑"/>
          <w:color w:val="000000"/>
          <w:sz w:val="27"/>
          <w:szCs w:val="27"/>
          <w:shd w:val="clear" w:fill="FFFFFF"/>
        </w:rPr>
        <w:t>联系人：李现通</w:t>
      </w:r>
      <w:r>
        <w:rPr>
          <w:rFonts w:hint="eastAsia" w:ascii="微软雅黑" w:hAnsi="微软雅黑" w:eastAsia="微软雅黑" w:cs="微软雅黑"/>
          <w:color w:val="000000"/>
          <w:sz w:val="27"/>
          <w:szCs w:val="27"/>
          <w:bdr w:val="none" w:color="auto" w:sz="0" w:space="0"/>
          <w:shd w:val="clear" w:fill="FFFFFF"/>
          <w:lang w:val="en-US"/>
        </w:rPr>
        <w:t> 0311-87807153 87904132（传真） </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xml:space="preserve">    </w:t>
      </w:r>
      <w:r>
        <w:rPr>
          <w:rFonts w:hint="eastAsia" w:ascii="微软雅黑" w:hAnsi="微软雅黑" w:eastAsia="微软雅黑" w:cs="微软雅黑"/>
          <w:color w:val="000000"/>
          <w:sz w:val="27"/>
          <w:szCs w:val="27"/>
          <w:shd w:val="clear" w:fill="FFFFFF"/>
        </w:rPr>
        <w:t>电子邮箱：</w:t>
      </w:r>
      <w:r>
        <w:rPr>
          <w:rFonts w:hint="eastAsia" w:ascii="微软雅黑" w:hAnsi="微软雅黑" w:eastAsia="微软雅黑" w:cs="微软雅黑"/>
          <w:sz w:val="27"/>
          <w:szCs w:val="27"/>
          <w:u w:val="none"/>
          <w:bdr w:val="none" w:color="auto" w:sz="0" w:space="0"/>
          <w:shd w:val="clear" w:fill="FFFFFF"/>
          <w:lang w:val="en-US"/>
        </w:rPr>
        <w:fldChar w:fldCharType="begin"/>
      </w:r>
      <w:r>
        <w:rPr>
          <w:rFonts w:hint="eastAsia" w:ascii="微软雅黑" w:hAnsi="微软雅黑" w:eastAsia="微软雅黑" w:cs="微软雅黑"/>
          <w:sz w:val="27"/>
          <w:szCs w:val="27"/>
          <w:u w:val="none"/>
          <w:bdr w:val="none" w:color="auto" w:sz="0" w:space="0"/>
          <w:shd w:val="clear" w:fill="FFFFFF"/>
          <w:lang w:val="en-US"/>
        </w:rPr>
        <w:instrText xml:space="preserve"> HYPERLINK "mailto:Jst4113@126.com" </w:instrText>
      </w:r>
      <w:r>
        <w:rPr>
          <w:rFonts w:hint="eastAsia" w:ascii="微软雅黑" w:hAnsi="微软雅黑" w:eastAsia="微软雅黑" w:cs="微软雅黑"/>
          <w:sz w:val="27"/>
          <w:szCs w:val="27"/>
          <w:u w:val="none"/>
          <w:bdr w:val="none" w:color="auto" w:sz="0" w:space="0"/>
          <w:shd w:val="clear" w:fill="FFFFFF"/>
          <w:lang w:val="en-US"/>
        </w:rPr>
        <w:fldChar w:fldCharType="separate"/>
      </w:r>
      <w:r>
        <w:rPr>
          <w:rStyle w:val="7"/>
          <w:rFonts w:hint="eastAsia" w:ascii="微软雅黑" w:hAnsi="微软雅黑" w:eastAsia="微软雅黑" w:cs="微软雅黑"/>
          <w:sz w:val="27"/>
          <w:szCs w:val="27"/>
          <w:u w:val="none"/>
          <w:bdr w:val="none" w:color="auto" w:sz="0" w:space="0"/>
          <w:shd w:val="clear" w:fill="FFFFFF"/>
          <w:lang w:val="en-US"/>
        </w:rPr>
        <w:t>cjc3113@163.com</w:t>
      </w:r>
      <w:r>
        <w:rPr>
          <w:rFonts w:hint="eastAsia" w:ascii="微软雅黑" w:hAnsi="微软雅黑" w:eastAsia="微软雅黑" w:cs="微软雅黑"/>
          <w:sz w:val="27"/>
          <w:szCs w:val="27"/>
          <w:u w:val="none"/>
          <w:bdr w:val="none" w:color="auto" w:sz="0" w:space="0"/>
          <w:shd w:val="clear" w:fill="FFFFFF"/>
          <w:lang w:val="en-US"/>
        </w:rPr>
        <w:fldChar w:fldCharType="end"/>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w:t>
      </w:r>
      <w:r>
        <w:rPr>
          <w:rFonts w:hint="eastAsia" w:ascii="微软雅黑" w:hAnsi="微软雅黑" w:eastAsia="微软雅黑" w:cs="微软雅黑"/>
          <w:color w:val="000000"/>
          <w:sz w:val="27"/>
          <w:szCs w:val="27"/>
          <w:shd w:val="clear" w:fill="FFFFFF"/>
        </w:rPr>
        <w:t>附件：</w:t>
      </w:r>
      <w:r>
        <w:rPr>
          <w:rFonts w:hint="eastAsia" w:ascii="微软雅黑" w:hAnsi="微软雅黑" w:eastAsia="微软雅黑" w:cs="微软雅黑"/>
          <w:color w:val="000000"/>
          <w:sz w:val="27"/>
          <w:szCs w:val="27"/>
          <w:bdr w:val="none" w:color="auto" w:sz="0" w:space="0"/>
          <w:shd w:val="clear" w:fill="FFFFFF"/>
          <w:lang w:val="en-US"/>
        </w:rPr>
        <w:t>1.城市排水防涝能力提升工作进展情况报告（模板）</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both"/>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2.</w:t>
      </w:r>
      <w:r>
        <w:rPr>
          <w:rFonts w:hint="eastAsia" w:ascii="微软雅黑" w:hAnsi="微软雅黑" w:eastAsia="微软雅黑" w:cs="微软雅黑"/>
          <w:color w:val="000000"/>
          <w:sz w:val="27"/>
          <w:szCs w:val="27"/>
          <w:shd w:val="clear" w:fill="FFFFFF"/>
        </w:rPr>
        <w:t>全省城市排水防涝能力提升行动考核评分标准</w:t>
      </w:r>
      <w:r>
        <w:rPr>
          <w:rFonts w:hint="eastAsia" w:ascii="微软雅黑" w:hAnsi="微软雅黑" w:eastAsia="微软雅黑" w:cs="微软雅黑"/>
          <w:color w:val="000000"/>
          <w:sz w:val="27"/>
          <w:szCs w:val="27"/>
          <w:bdr w:val="none" w:color="auto" w:sz="0" w:space="0"/>
          <w:shd w:val="clear" w:fill="FFFFFF"/>
          <w:lang w:val="en-US"/>
        </w:rPr>
        <w:t>                                          </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0" w:beforeAutospacing="0" w:after="0" w:afterAutospacing="0" w:line="480" w:lineRule="auto"/>
        <w:ind w:left="600" w:right="0"/>
        <w:jc w:val="right"/>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w:t>
      </w:r>
      <w:r>
        <w:rPr>
          <w:rFonts w:hint="eastAsia" w:ascii="微软雅黑" w:hAnsi="微软雅黑" w:eastAsia="微软雅黑" w:cs="微软雅黑"/>
          <w:color w:val="000000"/>
          <w:sz w:val="27"/>
          <w:szCs w:val="27"/>
          <w:shd w:val="clear" w:fill="FFFFFF"/>
        </w:rPr>
        <w:t>河北省住房和城乡建设厅</w:t>
      </w:r>
    </w:p>
    <w:p>
      <w:pPr>
        <w:pStyle w:val="4"/>
        <w:keepNext w:val="0"/>
        <w:keepLines w:val="0"/>
        <w:widowControl/>
        <w:suppressLineNumbers w:val="0"/>
        <w:pBdr>
          <w:bottom w:val="none" w:color="auto" w:sz="0" w:space="0"/>
        </w:pBdr>
        <w:spacing w:before="0" w:beforeAutospacing="0" w:after="0" w:afterAutospacing="0" w:line="480" w:lineRule="auto"/>
        <w:ind w:left="600" w:right="0"/>
        <w:jc w:val="right"/>
        <w:rPr>
          <w:sz w:val="27"/>
          <w:szCs w:val="27"/>
        </w:rPr>
      </w:pPr>
      <w:r>
        <w:rPr>
          <w:rFonts w:hint="eastAsia" w:ascii="微软雅黑" w:hAnsi="微软雅黑" w:eastAsia="微软雅黑" w:cs="微软雅黑"/>
          <w:color w:val="000000"/>
          <w:sz w:val="27"/>
          <w:szCs w:val="27"/>
          <w:shd w:val="clear" w:fill="FFFFFF"/>
        </w:rPr>
        <w:t>　　</w:t>
      </w:r>
      <w:r>
        <w:rPr>
          <w:rFonts w:hint="eastAsia" w:ascii="微软雅黑" w:hAnsi="微软雅黑" w:eastAsia="微软雅黑" w:cs="微软雅黑"/>
          <w:color w:val="000000"/>
          <w:sz w:val="27"/>
          <w:szCs w:val="27"/>
          <w:bdr w:val="none" w:color="auto" w:sz="0" w:space="0"/>
          <w:shd w:val="clear" w:fill="FFFFFF"/>
          <w:lang w:val="en-US"/>
        </w:rPr>
        <w:t>                               2018</w:t>
      </w:r>
      <w:r>
        <w:rPr>
          <w:rFonts w:hint="eastAsia" w:ascii="微软雅黑" w:hAnsi="微软雅黑" w:eastAsia="微软雅黑" w:cs="微软雅黑"/>
          <w:color w:val="000000"/>
          <w:sz w:val="27"/>
          <w:szCs w:val="27"/>
          <w:shd w:val="clear" w:fill="FFFFFF"/>
        </w:rPr>
        <w:t>年</w:t>
      </w:r>
      <w:r>
        <w:rPr>
          <w:rFonts w:hint="eastAsia" w:ascii="微软雅黑" w:hAnsi="微软雅黑" w:eastAsia="微软雅黑" w:cs="微软雅黑"/>
          <w:color w:val="000000"/>
          <w:sz w:val="27"/>
          <w:szCs w:val="27"/>
          <w:bdr w:val="none" w:color="auto" w:sz="0" w:space="0"/>
          <w:shd w:val="clear" w:fill="FFFFFF"/>
          <w:lang w:val="en-US"/>
        </w:rPr>
        <w:t>11月12日</w:t>
      </w: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pBdr>
          <w:bottom w:val="none" w:color="auto" w:sz="0" w:space="0"/>
        </w:pBdr>
        <w:spacing w:before="450" w:beforeAutospacing="0" w:after="0" w:afterAutospacing="0" w:line="480" w:lineRule="auto"/>
        <w:ind w:left="600" w:right="0"/>
        <w:rPr>
          <w:sz w:val="27"/>
          <w:szCs w:val="27"/>
        </w:rPr>
      </w:pPr>
      <w:r>
        <w:rPr>
          <w:rFonts w:hint="eastAsia" w:ascii="微软雅黑" w:hAnsi="微软雅黑" w:eastAsia="微软雅黑" w:cs="微软雅黑"/>
          <w:color w:val="000000"/>
          <w:sz w:val="27"/>
          <w:szCs w:val="27"/>
          <w:shd w:val="clear" w:fill="FFFFFF"/>
        </w:rPr>
        <w:t>附件：</w:t>
      </w:r>
    </w:p>
    <w:p>
      <w:pPr>
        <w:keepNext w:val="0"/>
        <w:keepLines w:val="0"/>
        <w:widowControl/>
        <w:suppressLineNumbers w:val="0"/>
        <w:spacing w:before="450" w:beforeAutospacing="0" w:after="0" w:afterAutospacing="0"/>
        <w:ind w:left="600" w:right="0"/>
        <w:jc w:val="left"/>
        <w:rPr>
          <w:rFonts w:hint="eastAsia" w:ascii="微软雅黑" w:hAnsi="微软雅黑" w:eastAsia="微软雅黑" w:cs="微软雅黑"/>
          <w:color w:val="000000"/>
          <w:kern w:val="0"/>
          <w:sz w:val="24"/>
          <w:szCs w:val="24"/>
          <w:bdr w:val="none" w:color="auto" w:sz="0" w:space="0"/>
          <w:shd w:val="clear" w:fill="FFFFFF"/>
          <w:lang w:val="en-US" w:eastAsia="zh-CN" w:bidi="ar"/>
        </w:rPr>
      </w:pPr>
      <w:r>
        <w:rPr>
          <w:rFonts w:hint="eastAsia" w:ascii="微软雅黑" w:hAnsi="微软雅黑" w:eastAsia="微软雅黑" w:cs="微软雅黑"/>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u w:val="none"/>
          <w:bdr w:val="none" w:color="auto" w:sz="0" w:space="0"/>
          <w:shd w:val="clear" w:fill="FFFFFF"/>
          <w:lang w:val="en-US" w:eastAsia="zh-CN" w:bidi="ar"/>
        </w:rPr>
        <w:instrText xml:space="preserve"> HYPERLINK "http://www.hebjs.gov.cn/zhengcewenjian/tfwj/201811/./P020181119412543429887.doc" \t "http://www.hebjs.gov.cn/zhengcewenjian/tfwj/201811/_blank" </w:instrText>
      </w:r>
      <w:r>
        <w:rPr>
          <w:rFonts w:hint="eastAsia" w:ascii="微软雅黑" w:hAnsi="微软雅黑" w:eastAsia="微软雅黑" w:cs="微软雅黑"/>
          <w:kern w:val="0"/>
          <w:sz w:val="24"/>
          <w:szCs w:val="24"/>
          <w:u w:val="none"/>
          <w:bdr w:val="none" w:color="auto" w:sz="0" w:space="0"/>
          <w:shd w:val="clear" w:fill="FFFFFF"/>
          <w:lang w:val="en-US" w:eastAsia="zh-CN" w:bidi="ar"/>
        </w:rPr>
        <w:fldChar w:fldCharType="separate"/>
      </w:r>
      <w:r>
        <w:rPr>
          <w:rStyle w:val="7"/>
          <w:rFonts w:hint="eastAsia" w:ascii="微软雅黑" w:hAnsi="微软雅黑" w:eastAsia="微软雅黑" w:cs="微软雅黑"/>
          <w:sz w:val="24"/>
          <w:szCs w:val="24"/>
          <w:u w:val="none"/>
          <w:bdr w:val="none" w:color="auto" w:sz="0" w:space="0"/>
          <w:shd w:val="clear" w:fill="FFFFFF"/>
        </w:rPr>
        <w:t>1.城市排水防涝能力提升工作进展情况报告（模板）.doc</w:t>
      </w:r>
      <w:r>
        <w:rPr>
          <w:rFonts w:hint="eastAsia" w:ascii="微软雅黑" w:hAnsi="微软雅黑" w:eastAsia="微软雅黑" w:cs="微软雅黑"/>
          <w:kern w:val="0"/>
          <w:sz w:val="24"/>
          <w:szCs w:val="24"/>
          <w:u w:val="none"/>
          <w:bdr w:val="none" w:color="auto" w:sz="0" w:space="0"/>
          <w:shd w:val="clear" w:fill="FFFFFF"/>
          <w:lang w:val="en-US" w:eastAsia="zh-CN" w:bidi="ar"/>
        </w:rPr>
        <w:fldChar w:fldCharType="end"/>
      </w:r>
      <w:r>
        <w:rPr>
          <w:rFonts w:hint="eastAsia" w:ascii="微软雅黑" w:hAnsi="微软雅黑" w:eastAsia="微软雅黑" w:cs="微软雅黑"/>
          <w:color w:val="000000"/>
          <w:kern w:val="0"/>
          <w:sz w:val="24"/>
          <w:szCs w:val="24"/>
          <w:bdr w:val="none" w:color="auto" w:sz="0" w:space="0"/>
          <w:shd w:val="clear" w:fill="FFFFFF"/>
          <w:lang w:val="en-US" w:eastAsia="zh-CN" w:bidi="ar"/>
        </w:rPr>
        <w:br w:type="textWrapping"/>
      </w:r>
      <w:r>
        <w:rPr>
          <w:rFonts w:hint="eastAsia" w:ascii="微软雅黑" w:hAnsi="微软雅黑" w:eastAsia="微软雅黑" w:cs="微软雅黑"/>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kern w:val="0"/>
          <w:sz w:val="24"/>
          <w:szCs w:val="24"/>
          <w:u w:val="none"/>
          <w:bdr w:val="none" w:color="auto" w:sz="0" w:space="0"/>
          <w:shd w:val="clear" w:fill="FFFFFF"/>
          <w:lang w:val="en-US" w:eastAsia="zh-CN" w:bidi="ar"/>
        </w:rPr>
        <w:instrText xml:space="preserve"> HYPERLINK "http://www.hebjs.gov.cn/zhengcewenjian/tfwj/201811/./P020181119412543995110.doc" \t "http://www.hebjs.gov.cn/zhengcewenjian/tfwj/201811/_blank" </w:instrText>
      </w:r>
      <w:r>
        <w:rPr>
          <w:rFonts w:hint="eastAsia" w:ascii="微软雅黑" w:hAnsi="微软雅黑" w:eastAsia="微软雅黑" w:cs="微软雅黑"/>
          <w:kern w:val="0"/>
          <w:sz w:val="24"/>
          <w:szCs w:val="24"/>
          <w:u w:val="none"/>
          <w:bdr w:val="none" w:color="auto" w:sz="0" w:space="0"/>
          <w:shd w:val="clear" w:fill="FFFFFF"/>
          <w:lang w:val="en-US" w:eastAsia="zh-CN" w:bidi="ar"/>
        </w:rPr>
        <w:fldChar w:fldCharType="separate"/>
      </w:r>
      <w:r>
        <w:rPr>
          <w:rStyle w:val="7"/>
          <w:rFonts w:hint="eastAsia" w:ascii="微软雅黑" w:hAnsi="微软雅黑" w:eastAsia="微软雅黑" w:cs="微软雅黑"/>
          <w:sz w:val="24"/>
          <w:szCs w:val="24"/>
          <w:u w:val="none"/>
          <w:bdr w:val="none" w:color="auto" w:sz="0" w:space="0"/>
          <w:shd w:val="clear" w:fill="FFFFFF"/>
        </w:rPr>
        <w:t>2.全省城市排水防涝能力提升行动考核评分标准.doc</w:t>
      </w:r>
      <w:r>
        <w:rPr>
          <w:rFonts w:hint="eastAsia" w:ascii="微软雅黑" w:hAnsi="微软雅黑" w:eastAsia="微软雅黑" w:cs="微软雅黑"/>
          <w:kern w:val="0"/>
          <w:sz w:val="24"/>
          <w:szCs w:val="24"/>
          <w:u w:val="none"/>
          <w:bdr w:val="none" w:color="auto" w:sz="0" w:space="0"/>
          <w:shd w:val="clear" w:fill="FFFFFF"/>
          <w:lang w:val="en-US" w:eastAsia="zh-CN" w:bidi="ar"/>
        </w:rPr>
        <w:fldChar w:fldCharType="end"/>
      </w:r>
      <w:r>
        <w:rPr>
          <w:rFonts w:hint="eastAsia" w:ascii="微软雅黑" w:hAnsi="微软雅黑" w:eastAsia="微软雅黑" w:cs="微软雅黑"/>
          <w:color w:val="000000"/>
          <w:kern w:val="0"/>
          <w:sz w:val="24"/>
          <w:szCs w:val="24"/>
          <w:bdr w:val="none" w:color="auto" w:sz="0" w:space="0"/>
          <w:shd w:val="clear" w:fill="FFFFFF"/>
          <w:lang w:val="en-US" w:eastAsia="zh-CN" w:bidi="ar"/>
        </w:rPr>
        <w:t xml:space="preserve"> </w:t>
      </w:r>
    </w:p>
    <w:p>
      <w:pPr>
        <w:keepNext w:val="0"/>
        <w:keepLines w:val="0"/>
        <w:widowControl/>
        <w:suppressLineNumbers w:val="0"/>
        <w:spacing w:before="450" w:beforeAutospacing="0" w:after="0" w:afterAutospacing="0"/>
        <w:ind w:left="600" w:right="0"/>
        <w:jc w:val="left"/>
        <w:rPr>
          <w:rFonts w:hint="eastAsia" w:ascii="微软雅黑" w:hAnsi="微软雅黑" w:eastAsia="微软雅黑" w:cs="微软雅黑"/>
          <w:color w:val="000000"/>
          <w:kern w:val="0"/>
          <w:sz w:val="24"/>
          <w:szCs w:val="24"/>
          <w:bdr w:val="none" w:color="auto" w:sz="0" w:space="0"/>
          <w:shd w:val="clear" w:fill="FFFFFF"/>
          <w:lang w:val="en-US" w:eastAsia="zh-CN" w:bidi="ar"/>
        </w:rPr>
      </w:pPr>
    </w:p>
    <w:p>
      <w:pPr>
        <w:keepNext w:val="0"/>
        <w:keepLines w:val="0"/>
        <w:widowControl/>
        <w:suppressLineNumbers w:val="0"/>
        <w:spacing w:before="450" w:beforeAutospacing="0" w:after="0" w:afterAutospacing="0"/>
        <w:ind w:left="600" w:right="0"/>
        <w:jc w:val="left"/>
        <w:rPr>
          <w:rFonts w:hint="eastAsia" w:ascii="微软雅黑" w:hAnsi="微软雅黑" w:eastAsia="微软雅黑" w:cs="微软雅黑"/>
          <w:color w:val="000000"/>
          <w:kern w:val="0"/>
          <w:sz w:val="24"/>
          <w:szCs w:val="24"/>
          <w:bdr w:val="none" w:color="auto" w:sz="0" w:space="0"/>
          <w:shd w:val="clear" w:fill="FFFFFF"/>
          <w:lang w:val="en-US" w:eastAsia="zh-CN" w:bidi="ar"/>
        </w:rPr>
      </w:pPr>
    </w:p>
    <w:p>
      <w:pPr>
        <w:keepNext w:val="0"/>
        <w:keepLines w:val="0"/>
        <w:widowControl/>
        <w:suppressLineNumbers w:val="0"/>
        <w:spacing w:before="450" w:beforeAutospacing="0" w:after="0" w:afterAutospacing="0"/>
        <w:ind w:left="600" w:right="0"/>
        <w:jc w:val="left"/>
        <w:rPr>
          <w:rFonts w:hint="eastAsia" w:ascii="微软雅黑" w:hAnsi="微软雅黑" w:eastAsia="微软雅黑" w:cs="微软雅黑"/>
          <w:color w:val="000000"/>
          <w:kern w:val="0"/>
          <w:sz w:val="24"/>
          <w:szCs w:val="24"/>
          <w:bdr w:val="none" w:color="auto" w:sz="0" w:space="0"/>
          <w:shd w:val="clear" w:fill="FFFFFF"/>
          <w:lang w:val="en-US" w:eastAsia="zh-CN" w:bidi="ar"/>
        </w:rPr>
      </w:pPr>
    </w:p>
    <w:p>
      <w:pPr>
        <w:keepNext w:val="0"/>
        <w:keepLines w:val="0"/>
        <w:widowControl/>
        <w:suppressLineNumbers w:val="0"/>
        <w:spacing w:before="450" w:beforeAutospacing="0" w:after="0" w:afterAutospacing="0"/>
        <w:ind w:right="0"/>
        <w:jc w:val="left"/>
        <w:rPr>
          <w:rFonts w:hint="eastAsia" w:ascii="微软雅黑" w:hAnsi="微软雅黑" w:eastAsia="微软雅黑" w:cs="微软雅黑"/>
          <w:color w:val="000000"/>
          <w:kern w:val="0"/>
          <w:sz w:val="24"/>
          <w:szCs w:val="24"/>
          <w:bdr w:val="none" w:color="auto" w:sz="0" w:space="0"/>
          <w:shd w:val="clear" w:fill="FFFFFF"/>
          <w:lang w:val="en-US" w:eastAsia="zh-CN" w:bidi="ar"/>
        </w:rPr>
      </w:pPr>
      <w:bookmarkStart w:id="0" w:name="_GoBack"/>
      <w:bookmarkEnd w:id="0"/>
    </w:p>
    <w:p>
      <w:pPr>
        <w:spacing w:line="560" w:lineRule="exact"/>
        <w:rPr>
          <w:rFonts w:hint="eastAsia" w:ascii="黑体" w:hAnsi="黑体" w:eastAsia="黑体" w:cs="黑体"/>
          <w:sz w:val="32"/>
        </w:rPr>
      </w:pPr>
      <w:r>
        <w:rPr>
          <w:rFonts w:hint="eastAsia" w:ascii="方正黑体_GBK" w:hAnsi="方正黑体_GBK" w:eastAsia="方正黑体_GBK" w:cs="方正黑体_GBK"/>
          <w:sz w:val="32"/>
        </w:rPr>
        <w:t>附件1</w:t>
      </w:r>
    </w:p>
    <w:p>
      <w:pPr>
        <w:spacing w:line="560" w:lineRule="exact"/>
        <w:rPr>
          <w:rFonts w:hint="eastAsia" w:ascii="黑体" w:hAnsi="黑体" w:eastAsia="黑体" w:cs="黑体"/>
          <w:sz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住建部通报的我省公共供水管网漏损率</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大于12%的城市名单</w:t>
      </w:r>
    </w:p>
    <w:p>
      <w:pPr>
        <w:spacing w:line="560" w:lineRule="exact"/>
        <w:rPr>
          <w:rFonts w:hint="eastAsia" w:ascii="黑体" w:hAnsi="黑体" w:eastAsia="黑体" w:cs="黑体"/>
          <w:sz w:val="32"/>
        </w:rPr>
      </w:pPr>
    </w:p>
    <w:p>
      <w:pPr>
        <w:spacing w:line="560" w:lineRule="exact"/>
        <w:rPr>
          <w:rFonts w:hint="eastAsia" w:ascii="方正仿宋_GBK" w:hAnsi="方正仿宋_GBK" w:eastAsia="方正仿宋_GBK" w:cs="方正仿宋_GBK"/>
          <w:sz w:val="32"/>
          <w:szCs w:val="32"/>
        </w:rPr>
      </w:pPr>
      <w:r>
        <w:rPr>
          <w:rFonts w:hint="eastAsia" w:ascii="黑体" w:hAnsi="黑体" w:eastAsia="黑体" w:cs="黑体"/>
          <w:sz w:val="32"/>
        </w:rPr>
        <w:t xml:space="preserve">    </w:t>
      </w:r>
      <w:r>
        <w:rPr>
          <w:rFonts w:hint="eastAsia" w:ascii="方正仿宋_GBK" w:hAnsi="方正仿宋_GBK" w:eastAsia="方正仿宋_GBK" w:cs="方正仿宋_GBK"/>
          <w:sz w:val="32"/>
          <w:szCs w:val="32"/>
        </w:rPr>
        <w:t>石家庄市、承德市、张家口市、秦皇岛市、保定市、衡水市、霸州市、高碑店市、涿州市、黄骅市、任丘市、河间市、泊头市、沙河市、定州市</w:t>
      </w:r>
    </w:p>
    <w:p>
      <w:pPr>
        <w:spacing w:line="560" w:lineRule="exact"/>
        <w:rPr>
          <w:rFonts w:hint="eastAsia" w:ascii="方正仿宋_GBK" w:hAnsi="方正仿宋_GBK" w:eastAsia="方正仿宋_GBK" w:cs="方正仿宋_GBK"/>
          <w:sz w:val="32"/>
          <w:szCs w:val="32"/>
        </w:rPr>
        <w:sectPr>
          <w:footerReference r:id="rId3" w:type="default"/>
          <w:pgSz w:w="12240" w:h="15840"/>
          <w:pgMar w:top="2098" w:right="1474" w:bottom="1984" w:left="1587" w:header="1701" w:footer="1701" w:gutter="0"/>
          <w:pgNumType w:fmt="numberInDash"/>
          <w:cols w:space="720" w:num="1"/>
        </w:sectPr>
      </w:pPr>
      <w:r>
        <w:rPr>
          <w:rFonts w:hint="eastAsia" w:ascii="方正仿宋_GBK" w:hAnsi="方正仿宋_GBK" w:eastAsia="方正仿宋_GBK" w:cs="方正仿宋_GBK"/>
          <w:sz w:val="32"/>
          <w:szCs w:val="32"/>
        </w:rPr>
        <w:t xml:space="preserve">    注：数据统计截止时间为2017年12月，来源住房城乡建设系统统计年鉴（2017年版）</w:t>
      </w:r>
    </w:p>
    <w:p>
      <w:pPr>
        <w:spacing w:line="560" w:lineRule="exac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附件2</w:t>
      </w:r>
    </w:p>
    <w:p>
      <w:pPr>
        <w:spacing w:line="560" w:lineRule="exact"/>
        <w:rPr>
          <w:rFonts w:hint="eastAsia" w:ascii="方正黑体_GBK" w:hAnsi="方正黑体_GBK" w:eastAsia="方正黑体_GBK" w:cs="方正黑体_GBK"/>
          <w:sz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w:t>
      </w:r>
      <w:r>
        <w:rPr>
          <w:rFonts w:hint="eastAsia" w:ascii="方正小标宋_GBK" w:hAnsi="方正小标宋_GBK" w:eastAsia="方正小标宋_GBK" w:cs="方正小标宋_GBK"/>
          <w:sz w:val="44"/>
          <w:szCs w:val="44"/>
        </w:rPr>
        <w:t>___</w:t>
      </w:r>
      <w:r>
        <w:rPr>
          <w:rFonts w:hint="eastAsia" w:ascii="方正小标宋简体" w:hAnsi="方正小标宋简体" w:eastAsia="方正小标宋简体" w:cs="方正小标宋简体"/>
          <w:sz w:val="44"/>
          <w:szCs w:val="44"/>
        </w:rPr>
        <w:t>市城市公共供水管网分区计量管理情况</w:t>
      </w:r>
    </w:p>
    <w:tbl>
      <w:tblPr>
        <w:tblStyle w:val="8"/>
        <w:tblpPr w:leftFromText="180" w:rightFromText="180" w:vertAnchor="text" w:horzAnchor="page" w:tblpX="112" w:tblpY="541"/>
        <w:tblOverlap w:val="never"/>
        <w:tblW w:w="11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775"/>
        <w:gridCol w:w="711"/>
        <w:gridCol w:w="1157"/>
        <w:gridCol w:w="759"/>
        <w:gridCol w:w="1265"/>
        <w:gridCol w:w="621"/>
        <w:gridCol w:w="659"/>
        <w:gridCol w:w="1339"/>
        <w:gridCol w:w="758"/>
        <w:gridCol w:w="700"/>
        <w:gridCol w:w="86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73"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75"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城市</w:t>
            </w:r>
          </w:p>
        </w:tc>
        <w:tc>
          <w:tcPr>
            <w:tcW w:w="6511" w:type="dxa"/>
            <w:gridSpan w:val="7"/>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分区计量管理情况</w:t>
            </w:r>
          </w:p>
        </w:tc>
        <w:tc>
          <w:tcPr>
            <w:tcW w:w="2323" w:type="dxa"/>
            <w:gridSpan w:val="3"/>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主要工程</w:t>
            </w:r>
          </w:p>
        </w:tc>
        <w:tc>
          <w:tcPr>
            <w:tcW w:w="1258"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有考核</w:t>
            </w:r>
          </w:p>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评估机制</w:t>
            </w:r>
          </w:p>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（选填√或×）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73" w:type="dxa"/>
            <w:vMerge w:val="continue"/>
            <w:vAlign w:val="center"/>
          </w:tcPr>
          <w:p>
            <w:pPr>
              <w:spacing w:line="320" w:lineRule="exact"/>
              <w:jc w:val="center"/>
              <w:rPr>
                <w:rFonts w:hint="eastAsia" w:ascii="方正仿宋_GBK" w:hAnsi="方正仿宋_GBK" w:eastAsia="方正仿宋_GBK" w:cs="方正仿宋_GBK"/>
                <w:sz w:val="28"/>
                <w:szCs w:val="28"/>
              </w:rPr>
            </w:pPr>
          </w:p>
        </w:tc>
        <w:tc>
          <w:tcPr>
            <w:tcW w:w="775" w:type="dxa"/>
            <w:vMerge w:val="continue"/>
            <w:vAlign w:val="center"/>
          </w:tcPr>
          <w:p>
            <w:pPr>
              <w:spacing w:line="320" w:lineRule="exact"/>
              <w:jc w:val="center"/>
              <w:rPr>
                <w:rFonts w:hint="eastAsia" w:ascii="方正仿宋_GBK" w:hAnsi="方正仿宋_GBK" w:eastAsia="方正仿宋_GBK" w:cs="方正仿宋_GBK"/>
                <w:sz w:val="28"/>
                <w:szCs w:val="28"/>
              </w:rPr>
            </w:pPr>
          </w:p>
        </w:tc>
        <w:tc>
          <w:tcPr>
            <w:tcW w:w="711"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实施主体</w:t>
            </w:r>
          </w:p>
        </w:tc>
        <w:tc>
          <w:tcPr>
            <w:tcW w:w="1157"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有管网GIS系统（选填√或×）</w:t>
            </w:r>
          </w:p>
        </w:tc>
        <w:tc>
          <w:tcPr>
            <w:tcW w:w="759"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实施进度</w:t>
            </w:r>
          </w:p>
        </w:tc>
        <w:tc>
          <w:tcPr>
            <w:tcW w:w="1265"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有分区</w:t>
            </w:r>
          </w:p>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计量系统（选填√或×）</w:t>
            </w:r>
          </w:p>
        </w:tc>
        <w:tc>
          <w:tcPr>
            <w:tcW w:w="1280" w:type="dxa"/>
            <w:gridSpan w:val="2"/>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漏损率（%）</w:t>
            </w:r>
          </w:p>
        </w:tc>
        <w:tc>
          <w:tcPr>
            <w:tcW w:w="1339"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二次供水设施同步建设、改造（选填√或×）</w:t>
            </w:r>
          </w:p>
        </w:tc>
        <w:tc>
          <w:tcPr>
            <w:tcW w:w="758"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计划投资（万元）</w:t>
            </w:r>
          </w:p>
        </w:tc>
        <w:tc>
          <w:tcPr>
            <w:tcW w:w="700"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工程内容</w:t>
            </w:r>
          </w:p>
        </w:tc>
        <w:tc>
          <w:tcPr>
            <w:tcW w:w="865" w:type="dxa"/>
            <w:vMerge w:val="restart"/>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起止时间</w:t>
            </w:r>
          </w:p>
        </w:tc>
        <w:tc>
          <w:tcPr>
            <w:tcW w:w="1258" w:type="dxa"/>
            <w:vMerge w:val="continue"/>
            <w:vAlign w:val="center"/>
          </w:tcPr>
          <w:p>
            <w:pPr>
              <w:spacing w:line="32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473" w:type="dxa"/>
            <w:vMerge w:val="continue"/>
            <w:vAlign w:val="top"/>
          </w:tcPr>
          <w:p>
            <w:pPr>
              <w:spacing w:line="320" w:lineRule="exact"/>
              <w:rPr>
                <w:rFonts w:hint="eastAsia" w:ascii="方正仿宋_GBK" w:hAnsi="方正仿宋_GBK" w:eastAsia="方正仿宋_GBK" w:cs="方正仿宋_GBK"/>
                <w:sz w:val="28"/>
                <w:szCs w:val="28"/>
              </w:rPr>
            </w:pPr>
          </w:p>
        </w:tc>
        <w:tc>
          <w:tcPr>
            <w:tcW w:w="775" w:type="dxa"/>
            <w:vMerge w:val="continue"/>
            <w:vAlign w:val="top"/>
          </w:tcPr>
          <w:p>
            <w:pPr>
              <w:spacing w:line="320" w:lineRule="exact"/>
              <w:rPr>
                <w:rFonts w:hint="eastAsia" w:ascii="方正仿宋_GBK" w:hAnsi="方正仿宋_GBK" w:eastAsia="方正仿宋_GBK" w:cs="方正仿宋_GBK"/>
                <w:sz w:val="28"/>
                <w:szCs w:val="28"/>
              </w:rPr>
            </w:pPr>
          </w:p>
        </w:tc>
        <w:tc>
          <w:tcPr>
            <w:tcW w:w="711" w:type="dxa"/>
            <w:vMerge w:val="continue"/>
            <w:vAlign w:val="top"/>
          </w:tcPr>
          <w:p>
            <w:pPr>
              <w:spacing w:line="320" w:lineRule="exact"/>
              <w:rPr>
                <w:rFonts w:hint="eastAsia" w:ascii="方正仿宋_GBK" w:hAnsi="方正仿宋_GBK" w:eastAsia="方正仿宋_GBK" w:cs="方正仿宋_GBK"/>
                <w:sz w:val="28"/>
                <w:szCs w:val="28"/>
              </w:rPr>
            </w:pPr>
          </w:p>
        </w:tc>
        <w:tc>
          <w:tcPr>
            <w:tcW w:w="1157" w:type="dxa"/>
            <w:vMerge w:val="continue"/>
            <w:vAlign w:val="top"/>
          </w:tcPr>
          <w:p>
            <w:pPr>
              <w:spacing w:line="320" w:lineRule="exact"/>
              <w:rPr>
                <w:rFonts w:hint="eastAsia" w:ascii="方正仿宋_GBK" w:hAnsi="方正仿宋_GBK" w:eastAsia="方正仿宋_GBK" w:cs="方正仿宋_GBK"/>
                <w:sz w:val="28"/>
                <w:szCs w:val="28"/>
              </w:rPr>
            </w:pPr>
          </w:p>
        </w:tc>
        <w:tc>
          <w:tcPr>
            <w:tcW w:w="759" w:type="dxa"/>
            <w:vMerge w:val="continue"/>
            <w:vAlign w:val="top"/>
          </w:tcPr>
          <w:p>
            <w:pPr>
              <w:spacing w:line="320" w:lineRule="exact"/>
              <w:rPr>
                <w:rFonts w:hint="eastAsia" w:ascii="方正仿宋_GBK" w:hAnsi="方正仿宋_GBK" w:eastAsia="方正仿宋_GBK" w:cs="方正仿宋_GBK"/>
                <w:sz w:val="28"/>
                <w:szCs w:val="28"/>
              </w:rPr>
            </w:pPr>
          </w:p>
        </w:tc>
        <w:tc>
          <w:tcPr>
            <w:tcW w:w="1265" w:type="dxa"/>
            <w:vMerge w:val="continue"/>
            <w:vAlign w:val="top"/>
          </w:tcPr>
          <w:p>
            <w:pPr>
              <w:spacing w:line="320" w:lineRule="exact"/>
              <w:rPr>
                <w:rFonts w:hint="eastAsia" w:ascii="方正仿宋_GBK" w:hAnsi="方正仿宋_GBK" w:eastAsia="方正仿宋_GBK" w:cs="方正仿宋_GBK"/>
                <w:sz w:val="28"/>
                <w:szCs w:val="28"/>
              </w:rPr>
            </w:pPr>
          </w:p>
        </w:tc>
        <w:tc>
          <w:tcPr>
            <w:tcW w:w="621" w:type="dxa"/>
            <w:vAlign w:val="top"/>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实施前</w:t>
            </w:r>
          </w:p>
        </w:tc>
        <w:tc>
          <w:tcPr>
            <w:tcW w:w="659" w:type="dxa"/>
            <w:vAlign w:val="top"/>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实施后</w:t>
            </w:r>
          </w:p>
        </w:tc>
        <w:tc>
          <w:tcPr>
            <w:tcW w:w="1339" w:type="dxa"/>
            <w:vMerge w:val="continue"/>
            <w:vAlign w:val="top"/>
          </w:tcPr>
          <w:p>
            <w:pPr>
              <w:spacing w:line="320" w:lineRule="exact"/>
              <w:rPr>
                <w:rFonts w:hint="eastAsia" w:ascii="方正仿宋_GBK" w:hAnsi="方正仿宋_GBK" w:eastAsia="方正仿宋_GBK" w:cs="方正仿宋_GBK"/>
                <w:sz w:val="28"/>
                <w:szCs w:val="28"/>
              </w:rPr>
            </w:pPr>
          </w:p>
        </w:tc>
        <w:tc>
          <w:tcPr>
            <w:tcW w:w="758" w:type="dxa"/>
            <w:vMerge w:val="continue"/>
            <w:vAlign w:val="top"/>
          </w:tcPr>
          <w:p>
            <w:pPr>
              <w:spacing w:line="320" w:lineRule="exact"/>
              <w:rPr>
                <w:rFonts w:hint="eastAsia" w:ascii="方正仿宋_GBK" w:hAnsi="方正仿宋_GBK" w:eastAsia="方正仿宋_GBK" w:cs="方正仿宋_GBK"/>
                <w:sz w:val="28"/>
                <w:szCs w:val="28"/>
              </w:rPr>
            </w:pPr>
          </w:p>
        </w:tc>
        <w:tc>
          <w:tcPr>
            <w:tcW w:w="700" w:type="dxa"/>
            <w:vMerge w:val="continue"/>
            <w:vAlign w:val="top"/>
          </w:tcPr>
          <w:p>
            <w:pPr>
              <w:spacing w:line="320" w:lineRule="exact"/>
              <w:rPr>
                <w:rFonts w:hint="eastAsia" w:ascii="方正仿宋_GBK" w:hAnsi="方正仿宋_GBK" w:eastAsia="方正仿宋_GBK" w:cs="方正仿宋_GBK"/>
                <w:sz w:val="28"/>
                <w:szCs w:val="28"/>
              </w:rPr>
            </w:pPr>
          </w:p>
        </w:tc>
        <w:tc>
          <w:tcPr>
            <w:tcW w:w="865" w:type="dxa"/>
            <w:vMerge w:val="continue"/>
            <w:vAlign w:val="top"/>
          </w:tcPr>
          <w:p>
            <w:pPr>
              <w:spacing w:line="320" w:lineRule="exact"/>
              <w:rPr>
                <w:rFonts w:hint="eastAsia" w:ascii="方正仿宋_GBK" w:hAnsi="方正仿宋_GBK" w:eastAsia="方正仿宋_GBK" w:cs="方正仿宋_GBK"/>
                <w:sz w:val="28"/>
                <w:szCs w:val="28"/>
              </w:rPr>
            </w:pPr>
          </w:p>
        </w:tc>
        <w:tc>
          <w:tcPr>
            <w:tcW w:w="1258" w:type="dxa"/>
            <w:vMerge w:val="continue"/>
            <w:vAlign w:val="top"/>
          </w:tcPr>
          <w:p>
            <w:pPr>
              <w:spacing w:line="320" w:lineRule="exac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473" w:type="dxa"/>
            <w:vAlign w:val="top"/>
          </w:tcPr>
          <w:p>
            <w:pPr>
              <w:spacing w:line="320" w:lineRule="exact"/>
              <w:rPr>
                <w:rFonts w:hint="eastAsia" w:ascii="方正仿宋_GBK" w:hAnsi="方正仿宋_GBK" w:eastAsia="方正仿宋_GBK" w:cs="方正仿宋_GBK"/>
                <w:sz w:val="28"/>
                <w:szCs w:val="28"/>
              </w:rPr>
            </w:pPr>
          </w:p>
        </w:tc>
        <w:tc>
          <w:tcPr>
            <w:tcW w:w="775" w:type="dxa"/>
            <w:vAlign w:val="top"/>
          </w:tcPr>
          <w:p>
            <w:pPr>
              <w:spacing w:line="320" w:lineRule="exact"/>
              <w:rPr>
                <w:rFonts w:hint="eastAsia" w:ascii="方正仿宋_GBK" w:hAnsi="方正仿宋_GBK" w:eastAsia="方正仿宋_GBK" w:cs="方正仿宋_GBK"/>
                <w:sz w:val="28"/>
                <w:szCs w:val="28"/>
              </w:rPr>
            </w:pPr>
          </w:p>
        </w:tc>
        <w:tc>
          <w:tcPr>
            <w:tcW w:w="711" w:type="dxa"/>
            <w:vAlign w:val="top"/>
          </w:tcPr>
          <w:p>
            <w:pPr>
              <w:spacing w:line="320" w:lineRule="exact"/>
              <w:rPr>
                <w:rFonts w:hint="eastAsia" w:ascii="方正仿宋_GBK" w:hAnsi="方正仿宋_GBK" w:eastAsia="方正仿宋_GBK" w:cs="方正仿宋_GBK"/>
                <w:sz w:val="28"/>
                <w:szCs w:val="28"/>
              </w:rPr>
            </w:pPr>
          </w:p>
        </w:tc>
        <w:tc>
          <w:tcPr>
            <w:tcW w:w="1157" w:type="dxa"/>
            <w:vAlign w:val="top"/>
          </w:tcPr>
          <w:p>
            <w:pPr>
              <w:spacing w:line="320" w:lineRule="exact"/>
              <w:rPr>
                <w:rFonts w:hint="eastAsia" w:ascii="方正仿宋_GBK" w:hAnsi="方正仿宋_GBK" w:eastAsia="方正仿宋_GBK" w:cs="方正仿宋_GBK"/>
                <w:sz w:val="28"/>
                <w:szCs w:val="28"/>
              </w:rPr>
            </w:pPr>
          </w:p>
        </w:tc>
        <w:tc>
          <w:tcPr>
            <w:tcW w:w="759" w:type="dxa"/>
            <w:vAlign w:val="top"/>
          </w:tcPr>
          <w:p>
            <w:pPr>
              <w:spacing w:line="320" w:lineRule="exact"/>
              <w:rPr>
                <w:rFonts w:hint="eastAsia" w:ascii="方正仿宋_GBK" w:hAnsi="方正仿宋_GBK" w:eastAsia="方正仿宋_GBK" w:cs="方正仿宋_GBK"/>
                <w:sz w:val="28"/>
                <w:szCs w:val="28"/>
              </w:rPr>
            </w:pPr>
          </w:p>
        </w:tc>
        <w:tc>
          <w:tcPr>
            <w:tcW w:w="1265" w:type="dxa"/>
            <w:vAlign w:val="top"/>
          </w:tcPr>
          <w:p>
            <w:pPr>
              <w:spacing w:line="320" w:lineRule="exact"/>
              <w:rPr>
                <w:rFonts w:hint="eastAsia" w:ascii="方正仿宋_GBK" w:hAnsi="方正仿宋_GBK" w:eastAsia="方正仿宋_GBK" w:cs="方正仿宋_GBK"/>
                <w:sz w:val="28"/>
                <w:szCs w:val="28"/>
              </w:rPr>
            </w:pPr>
          </w:p>
        </w:tc>
        <w:tc>
          <w:tcPr>
            <w:tcW w:w="621" w:type="dxa"/>
            <w:vAlign w:val="top"/>
          </w:tcPr>
          <w:p>
            <w:pPr>
              <w:spacing w:line="320" w:lineRule="exact"/>
              <w:rPr>
                <w:rFonts w:hint="eastAsia" w:ascii="方正仿宋_GBK" w:hAnsi="方正仿宋_GBK" w:eastAsia="方正仿宋_GBK" w:cs="方正仿宋_GBK"/>
                <w:sz w:val="28"/>
                <w:szCs w:val="28"/>
              </w:rPr>
            </w:pPr>
          </w:p>
        </w:tc>
        <w:tc>
          <w:tcPr>
            <w:tcW w:w="659" w:type="dxa"/>
            <w:vAlign w:val="top"/>
          </w:tcPr>
          <w:p>
            <w:pPr>
              <w:spacing w:line="320" w:lineRule="exact"/>
              <w:rPr>
                <w:rFonts w:hint="eastAsia" w:ascii="方正仿宋_GBK" w:hAnsi="方正仿宋_GBK" w:eastAsia="方正仿宋_GBK" w:cs="方正仿宋_GBK"/>
                <w:sz w:val="28"/>
                <w:szCs w:val="28"/>
              </w:rPr>
            </w:pPr>
          </w:p>
        </w:tc>
        <w:tc>
          <w:tcPr>
            <w:tcW w:w="1339" w:type="dxa"/>
            <w:vAlign w:val="top"/>
          </w:tcPr>
          <w:p>
            <w:pPr>
              <w:spacing w:line="320" w:lineRule="exact"/>
              <w:rPr>
                <w:rFonts w:hint="eastAsia" w:ascii="方正仿宋_GBK" w:hAnsi="方正仿宋_GBK" w:eastAsia="方正仿宋_GBK" w:cs="方正仿宋_GBK"/>
                <w:sz w:val="28"/>
                <w:szCs w:val="28"/>
              </w:rPr>
            </w:pPr>
          </w:p>
        </w:tc>
        <w:tc>
          <w:tcPr>
            <w:tcW w:w="758" w:type="dxa"/>
            <w:vAlign w:val="top"/>
          </w:tcPr>
          <w:p>
            <w:pPr>
              <w:spacing w:line="320" w:lineRule="exact"/>
              <w:rPr>
                <w:rFonts w:hint="eastAsia" w:ascii="方正仿宋_GBK" w:hAnsi="方正仿宋_GBK" w:eastAsia="方正仿宋_GBK" w:cs="方正仿宋_GBK"/>
                <w:sz w:val="28"/>
                <w:szCs w:val="28"/>
              </w:rPr>
            </w:pPr>
          </w:p>
        </w:tc>
        <w:tc>
          <w:tcPr>
            <w:tcW w:w="700" w:type="dxa"/>
            <w:vAlign w:val="top"/>
          </w:tcPr>
          <w:p>
            <w:pPr>
              <w:spacing w:line="320" w:lineRule="exact"/>
              <w:rPr>
                <w:rFonts w:hint="eastAsia" w:ascii="方正仿宋_GBK" w:hAnsi="方正仿宋_GBK" w:eastAsia="方正仿宋_GBK" w:cs="方正仿宋_GBK"/>
                <w:sz w:val="28"/>
                <w:szCs w:val="28"/>
              </w:rPr>
            </w:pPr>
          </w:p>
        </w:tc>
        <w:tc>
          <w:tcPr>
            <w:tcW w:w="865" w:type="dxa"/>
            <w:vAlign w:val="top"/>
          </w:tcPr>
          <w:p>
            <w:pPr>
              <w:spacing w:line="320" w:lineRule="exact"/>
              <w:rPr>
                <w:rFonts w:hint="eastAsia" w:ascii="方正仿宋_GBK" w:hAnsi="方正仿宋_GBK" w:eastAsia="方正仿宋_GBK" w:cs="方正仿宋_GBK"/>
                <w:sz w:val="28"/>
                <w:szCs w:val="28"/>
              </w:rPr>
            </w:pPr>
          </w:p>
        </w:tc>
        <w:tc>
          <w:tcPr>
            <w:tcW w:w="1258" w:type="dxa"/>
            <w:vAlign w:val="top"/>
          </w:tcPr>
          <w:p>
            <w:pPr>
              <w:spacing w:line="320" w:lineRule="exact"/>
              <w:rPr>
                <w:rFonts w:hint="eastAsia" w:ascii="方正仿宋_GBK" w:hAnsi="方正仿宋_GBK" w:eastAsia="方正仿宋_GBK" w:cs="方正仿宋_GBK"/>
                <w:sz w:val="28"/>
                <w:szCs w:val="28"/>
              </w:rPr>
            </w:pPr>
          </w:p>
        </w:tc>
      </w:tr>
    </w:tbl>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摸底调查表</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4"/>
        </w:rPr>
        <w:t>备注：1.此表只统计市本级及县级市；</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2.实施主体：实施分区计量管理的主管部门或供水企业；</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3.实施进度：选填未实施、项目方案编制与论证、项目实施、项目验收、项目运维及长效管理；</w:t>
      </w:r>
    </w:p>
    <w:p>
      <w:pPr>
        <w:spacing w:line="40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4.漏损率：未实施分区计量管理的漏损率仅需填写“实施前”。</w:t>
      </w:r>
    </w:p>
    <w:p>
      <w:pPr>
        <w:spacing w:line="560" w:lineRule="exact"/>
        <w:rPr>
          <w:rFonts w:hint="eastAsia" w:ascii="方正仿宋简体" w:hAnsi="方正仿宋简体" w:eastAsia="方正仿宋简体"/>
          <w:sz w:val="32"/>
        </w:rPr>
      </w:pPr>
    </w:p>
    <w:p>
      <w:pPr>
        <w:keepNext w:val="0"/>
        <w:keepLines w:val="0"/>
        <w:widowControl/>
        <w:suppressLineNumbers w:val="0"/>
        <w:spacing w:before="450" w:beforeAutospacing="0" w:after="0" w:afterAutospacing="0"/>
        <w:ind w:left="600" w:right="0"/>
        <w:jc w:val="left"/>
        <w:rPr>
          <w:rFonts w:hint="eastAsia" w:ascii="微软雅黑" w:hAnsi="微软雅黑" w:eastAsia="微软雅黑" w:cs="微软雅黑"/>
          <w:color w:val="000000"/>
          <w:kern w:val="0"/>
          <w:sz w:val="24"/>
          <w:szCs w:val="24"/>
          <w:bdr w:val="none" w:color="auto" w:sz="0" w:space="0"/>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02236"/>
    <w:rsid w:val="035102D3"/>
    <w:rsid w:val="389E35A3"/>
    <w:rsid w:val="3D402236"/>
    <w:rsid w:val="4EB20F28"/>
    <w:rsid w:val="4F8A3E84"/>
    <w:rsid w:val="692D68D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 w:type="character" w:customStyle="1" w:styleId="9">
    <w:name w:val="spantt"/>
    <w:basedOn w:val="5"/>
    <w:uiPriority w:val="0"/>
    <w:rPr>
      <w:color w:val="FFFFFF"/>
      <w:shd w:val="clear" w:fill="FF900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fa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2018-11-27T02:01:00Z</dcterms:created>
  <dc:creator>筝</dc:creator>
  <cp:lastModifiedBy>筝</cp:lastModifiedBy>
  <dcterms:modified xsi:type="dcterms:W3CDTF">2018-11-27T02:04:56Z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